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0DCD5" w14:textId="1A7F181E" w:rsidR="005A5679" w:rsidRPr="005A5679" w:rsidRDefault="005A5679" w:rsidP="005A5679">
      <w:pPr>
        <w:shd w:val="clear" w:color="auto" w:fill="FFFFFF"/>
        <w:spacing w:before="390" w:after="120" w:line="240" w:lineRule="auto"/>
        <w:ind w:left="300"/>
        <w:outlineLvl w:val="1"/>
        <w:rPr>
          <w:rFonts w:ascii="Georgia" w:eastAsia="Times New Roman" w:hAnsi="Georgia" w:cs="Arial"/>
          <w:b/>
          <w:bCs/>
          <w:color w:val="0033CC"/>
          <w:kern w:val="0"/>
          <w:sz w:val="32"/>
          <w:szCs w:val="32"/>
          <w:lang w:eastAsia="fr-FR"/>
          <w14:ligatures w14:val="none"/>
        </w:rPr>
      </w:pPr>
      <w:r w:rsidRPr="005A5679">
        <w:rPr>
          <w:rFonts w:ascii="Times New Roman" w:eastAsia="Times New Roman" w:hAnsi="Times New Roman" w:cs="Times New Roman"/>
          <w:b/>
          <w:bCs/>
          <w:color w:val="0033CC"/>
          <w:kern w:val="0"/>
          <w:sz w:val="32"/>
          <w:szCs w:val="32"/>
          <w:lang w:eastAsia="fr-FR"/>
          <w14:ligatures w14:val="none"/>
        </w:rPr>
        <w:t>L'échec de la Communauté européenne de défense (CED</w:t>
      </w:r>
      <w:r w:rsidRPr="005A5679">
        <w:rPr>
          <w:rFonts w:ascii="Georgia" w:eastAsia="Times New Roman" w:hAnsi="Georgia" w:cs="Arial"/>
          <w:b/>
          <w:bCs/>
          <w:color w:val="0033CC"/>
          <w:kern w:val="0"/>
          <w:sz w:val="32"/>
          <w:szCs w:val="32"/>
          <w:lang w:eastAsia="fr-FR"/>
          <w14:ligatures w14:val="none"/>
        </w:rPr>
        <w:t>)</w:t>
      </w:r>
    </w:p>
    <w:p w14:paraId="1DC606DD" w14:textId="77777777" w:rsidR="006C2913" w:rsidRDefault="006C2913" w:rsidP="00DB799D">
      <w:pPr>
        <w:spacing w:after="150" w:line="276" w:lineRule="auto"/>
        <w:jc w:val="both"/>
        <w:rPr>
          <w:rFonts w:ascii="Times New Roman" w:hAnsi="Times New Roman" w:cs="Times New Roman"/>
          <w:sz w:val="24"/>
          <w:szCs w:val="24"/>
          <w:shd w:val="clear" w:color="auto" w:fill="FFFFFF"/>
        </w:rPr>
      </w:pPr>
    </w:p>
    <w:p w14:paraId="7E872D7B" w14:textId="32137873" w:rsidR="005A5679" w:rsidRDefault="005A5679" w:rsidP="00DB799D">
      <w:pPr>
        <w:spacing w:after="150" w:line="276" w:lineRule="auto"/>
        <w:jc w:val="both"/>
        <w:rPr>
          <w:rFonts w:ascii="Times New Roman" w:hAnsi="Times New Roman" w:cs="Times New Roman"/>
          <w:sz w:val="24"/>
          <w:szCs w:val="24"/>
        </w:rPr>
      </w:pPr>
      <w:r w:rsidRPr="00435584">
        <w:rPr>
          <w:rFonts w:ascii="Times New Roman" w:hAnsi="Times New Roman" w:cs="Times New Roman"/>
          <w:sz w:val="24"/>
          <w:szCs w:val="24"/>
          <w:shd w:val="clear" w:color="auto" w:fill="FFFFFF"/>
        </w:rPr>
        <w:t>Après la fin de la Seconde Guerre mondiale, une grande partie de l'Europe, dont l'Allemagne, n'était plus que ruines et décombres. Les </w:t>
      </w:r>
      <w:hyperlink r:id="rId5" w:tooltip="Alliés" w:history="1">
        <w:r w:rsidRPr="00435584">
          <w:rPr>
            <w:rStyle w:val="Lienhypertexte"/>
            <w:rFonts w:ascii="Times New Roman" w:hAnsi="Times New Roman" w:cs="Times New Roman"/>
            <w:color w:val="auto"/>
            <w:sz w:val="24"/>
            <w:szCs w:val="24"/>
            <w:shd w:val="clear" w:color="auto" w:fill="FFFFFF"/>
          </w:rPr>
          <w:t>Alliés</w:t>
        </w:r>
      </w:hyperlink>
      <w:r w:rsidRPr="00435584">
        <w:rPr>
          <w:rFonts w:ascii="Times New Roman" w:hAnsi="Times New Roman" w:cs="Times New Roman"/>
          <w:sz w:val="24"/>
          <w:szCs w:val="24"/>
          <w:shd w:val="clear" w:color="auto" w:fill="FFFFFF"/>
        </w:rPr>
        <w:t> ont donc instauré après la </w:t>
      </w:r>
      <w:hyperlink r:id="rId6" w:tooltip="Capitulation" w:history="1">
        <w:r w:rsidRPr="00435584">
          <w:rPr>
            <w:rStyle w:val="Lienhypertexte"/>
            <w:rFonts w:ascii="Times New Roman" w:hAnsi="Times New Roman" w:cs="Times New Roman"/>
            <w:color w:val="auto"/>
            <w:sz w:val="24"/>
            <w:szCs w:val="24"/>
            <w:shd w:val="clear" w:color="auto" w:fill="FFFFFF"/>
          </w:rPr>
          <w:t>capitulation</w:t>
        </w:r>
      </w:hyperlink>
      <w:r w:rsidRPr="00435584">
        <w:rPr>
          <w:rFonts w:ascii="Times New Roman" w:hAnsi="Times New Roman" w:cs="Times New Roman"/>
          <w:sz w:val="24"/>
          <w:szCs w:val="24"/>
          <w:shd w:val="clear" w:color="auto" w:fill="FFFFFF"/>
        </w:rPr>
        <w:t> du </w:t>
      </w:r>
      <w:hyperlink r:id="rId7" w:tooltip="Troisième Reich" w:history="1">
        <w:r w:rsidRPr="00435584">
          <w:rPr>
            <w:rStyle w:val="Lienhypertexte"/>
            <w:rFonts w:ascii="Times New Roman" w:hAnsi="Times New Roman" w:cs="Times New Roman"/>
            <w:color w:val="auto"/>
            <w:sz w:val="24"/>
            <w:szCs w:val="24"/>
            <w:shd w:val="clear" w:color="auto" w:fill="FFFFFF"/>
          </w:rPr>
          <w:t>Troisième Reich</w:t>
        </w:r>
      </w:hyperlink>
      <w:r w:rsidRPr="00435584">
        <w:rPr>
          <w:rFonts w:ascii="Times New Roman" w:hAnsi="Times New Roman" w:cs="Times New Roman"/>
          <w:sz w:val="24"/>
          <w:szCs w:val="24"/>
          <w:shd w:val="clear" w:color="auto" w:fill="FFFFFF"/>
        </w:rPr>
        <w:t> une politique de </w:t>
      </w:r>
      <w:hyperlink r:id="rId8" w:tooltip="Démocratisation" w:history="1">
        <w:r w:rsidRPr="00435584">
          <w:rPr>
            <w:rStyle w:val="Lienhypertexte"/>
            <w:rFonts w:ascii="Times New Roman" w:hAnsi="Times New Roman" w:cs="Times New Roman"/>
            <w:color w:val="auto"/>
            <w:sz w:val="24"/>
            <w:szCs w:val="24"/>
            <w:shd w:val="clear" w:color="auto" w:fill="FFFFFF"/>
          </w:rPr>
          <w:t>démocratisation</w:t>
        </w:r>
      </w:hyperlink>
      <w:r w:rsidRPr="00435584">
        <w:rPr>
          <w:rFonts w:ascii="Times New Roman" w:hAnsi="Times New Roman" w:cs="Times New Roman"/>
          <w:sz w:val="24"/>
          <w:szCs w:val="24"/>
          <w:shd w:val="clear" w:color="auto" w:fill="FFFFFF"/>
        </w:rPr>
        <w:t>, de démontage</w:t>
      </w:r>
      <w:r w:rsidR="00BC0188">
        <w:rPr>
          <w:rFonts w:ascii="Times New Roman" w:hAnsi="Times New Roman" w:cs="Times New Roman"/>
          <w:sz w:val="24"/>
          <w:szCs w:val="24"/>
          <w:shd w:val="clear" w:color="auto" w:fill="FFFFFF"/>
        </w:rPr>
        <w:t xml:space="preserve"> industriel</w:t>
      </w:r>
      <w:r w:rsidRPr="00435584">
        <w:rPr>
          <w:rFonts w:ascii="Times New Roman" w:hAnsi="Times New Roman" w:cs="Times New Roman"/>
          <w:sz w:val="24"/>
          <w:szCs w:val="24"/>
          <w:shd w:val="clear" w:color="auto" w:fill="FFFFFF"/>
        </w:rPr>
        <w:t>, de </w:t>
      </w:r>
      <w:hyperlink r:id="rId9" w:tooltip="Démilitarisation" w:history="1">
        <w:r w:rsidRPr="00435584">
          <w:rPr>
            <w:rStyle w:val="Lienhypertexte"/>
            <w:rFonts w:ascii="Times New Roman" w:hAnsi="Times New Roman" w:cs="Times New Roman"/>
            <w:color w:val="auto"/>
            <w:sz w:val="24"/>
            <w:szCs w:val="24"/>
            <w:shd w:val="clear" w:color="auto" w:fill="FFFFFF"/>
          </w:rPr>
          <w:t>démilitarisation</w:t>
        </w:r>
      </w:hyperlink>
      <w:r w:rsidRPr="00435584">
        <w:rPr>
          <w:rFonts w:ascii="Times New Roman" w:hAnsi="Times New Roman" w:cs="Times New Roman"/>
          <w:sz w:val="24"/>
          <w:szCs w:val="24"/>
          <w:shd w:val="clear" w:color="auto" w:fill="FFFFFF"/>
        </w:rPr>
        <w:t>, de </w:t>
      </w:r>
      <w:hyperlink r:id="rId10" w:tooltip="Dénazification" w:history="1">
        <w:r w:rsidRPr="00435584">
          <w:rPr>
            <w:rStyle w:val="Lienhypertexte"/>
            <w:rFonts w:ascii="Times New Roman" w:hAnsi="Times New Roman" w:cs="Times New Roman"/>
            <w:color w:val="auto"/>
            <w:sz w:val="24"/>
            <w:szCs w:val="24"/>
            <w:shd w:val="clear" w:color="auto" w:fill="FFFFFF"/>
          </w:rPr>
          <w:t>dénazification</w:t>
        </w:r>
      </w:hyperlink>
      <w:r w:rsidRPr="00435584">
        <w:rPr>
          <w:rFonts w:ascii="Times New Roman" w:hAnsi="Times New Roman" w:cs="Times New Roman"/>
          <w:sz w:val="24"/>
          <w:szCs w:val="24"/>
          <w:shd w:val="clear" w:color="auto" w:fill="FFFFFF"/>
        </w:rPr>
        <w:t> et de </w:t>
      </w:r>
      <w:hyperlink r:id="rId11" w:tooltip="Décentralisation" w:history="1">
        <w:r w:rsidRPr="00435584">
          <w:rPr>
            <w:rStyle w:val="Lienhypertexte"/>
            <w:rFonts w:ascii="Times New Roman" w:hAnsi="Times New Roman" w:cs="Times New Roman"/>
            <w:color w:val="auto"/>
            <w:sz w:val="24"/>
            <w:szCs w:val="24"/>
            <w:shd w:val="clear" w:color="auto" w:fill="FFFFFF"/>
          </w:rPr>
          <w:t>décentralisation</w:t>
        </w:r>
      </w:hyperlink>
      <w:r w:rsidRPr="00435584">
        <w:rPr>
          <w:rFonts w:ascii="Times New Roman" w:hAnsi="Times New Roman" w:cs="Times New Roman"/>
          <w:sz w:val="24"/>
          <w:szCs w:val="24"/>
        </w:rPr>
        <w:t xml:space="preserve">, l’Allemagne ayant été divisée en </w:t>
      </w:r>
      <w:r w:rsidRPr="00BC0188">
        <w:rPr>
          <w:rFonts w:ascii="Times New Roman" w:hAnsi="Times New Roman" w:cs="Times New Roman"/>
          <w:sz w:val="24"/>
          <w:szCs w:val="24"/>
          <w:u w:val="single"/>
        </w:rPr>
        <w:t>quatre zones d’occupation</w:t>
      </w:r>
      <w:r w:rsidR="00435584" w:rsidRPr="00435584">
        <w:rPr>
          <w:rFonts w:ascii="Times New Roman" w:hAnsi="Times New Roman" w:cs="Times New Roman"/>
          <w:sz w:val="24"/>
          <w:szCs w:val="24"/>
        </w:rPr>
        <w:t>, à</w:t>
      </w:r>
      <w:r w:rsidRPr="00435584">
        <w:rPr>
          <w:rFonts w:ascii="Times New Roman" w:hAnsi="Times New Roman" w:cs="Times New Roman"/>
          <w:sz w:val="24"/>
          <w:szCs w:val="24"/>
        </w:rPr>
        <w:t xml:space="preserve"> la suite de la </w:t>
      </w:r>
      <w:r w:rsidRPr="00BC0188">
        <w:rPr>
          <w:rFonts w:ascii="Times New Roman" w:hAnsi="Times New Roman" w:cs="Times New Roman"/>
          <w:sz w:val="24"/>
          <w:szCs w:val="24"/>
          <w:u w:val="single"/>
        </w:rPr>
        <w:t>conférence de Postdam</w:t>
      </w:r>
      <w:r w:rsidRPr="00435584">
        <w:rPr>
          <w:rFonts w:ascii="Times New Roman" w:hAnsi="Times New Roman" w:cs="Times New Roman"/>
          <w:sz w:val="24"/>
          <w:szCs w:val="24"/>
        </w:rPr>
        <w:t xml:space="preserve">. Mais, très vite avec le fameux « rideau de fer » décrit par  Churchill, il apparaît que l’Est et l’Ouest seront des pions dans l’affrontement idéologique entre les USA et l’URSS. </w:t>
      </w:r>
      <w:r w:rsidR="00435584" w:rsidRPr="00435584">
        <w:rPr>
          <w:rFonts w:ascii="Times New Roman" w:hAnsi="Times New Roman" w:cs="Times New Roman"/>
          <w:color w:val="3A3A3A"/>
          <w:sz w:val="24"/>
          <w:szCs w:val="24"/>
          <w:shd w:val="clear" w:color="auto" w:fill="FFFFFF"/>
        </w:rPr>
        <w:t xml:space="preserve">Les États d’Europe de l’Ouest ont accepté le </w:t>
      </w:r>
      <w:r w:rsidR="00435584" w:rsidRPr="00BC0188">
        <w:rPr>
          <w:rFonts w:ascii="Times New Roman" w:hAnsi="Times New Roman" w:cs="Times New Roman"/>
          <w:color w:val="3A3A3A"/>
          <w:sz w:val="24"/>
          <w:szCs w:val="24"/>
          <w:u w:val="single"/>
          <w:shd w:val="clear" w:color="auto" w:fill="FFFFFF"/>
        </w:rPr>
        <w:t>plan Marshall</w:t>
      </w:r>
      <w:r w:rsidR="00435584" w:rsidRPr="00435584">
        <w:rPr>
          <w:rFonts w:ascii="Times New Roman" w:hAnsi="Times New Roman" w:cs="Times New Roman"/>
          <w:color w:val="3A3A3A"/>
          <w:sz w:val="24"/>
          <w:szCs w:val="24"/>
          <w:shd w:val="clear" w:color="auto" w:fill="FFFFFF"/>
        </w:rPr>
        <w:t xml:space="preserve"> du Président Harry Truman pour financer leur reconstruction et rejoignent </w:t>
      </w:r>
      <w:r w:rsidR="00435584" w:rsidRPr="00435584">
        <w:rPr>
          <w:rStyle w:val="Accentuation"/>
          <w:rFonts w:ascii="Times New Roman" w:hAnsi="Times New Roman" w:cs="Times New Roman"/>
          <w:color w:val="3A3A3A"/>
          <w:sz w:val="24"/>
          <w:szCs w:val="24"/>
          <w:shd w:val="clear" w:color="auto" w:fill="FFFFFF"/>
        </w:rPr>
        <w:t>de facto</w:t>
      </w:r>
      <w:r w:rsidR="00435584" w:rsidRPr="00435584">
        <w:rPr>
          <w:rFonts w:ascii="Times New Roman" w:hAnsi="Times New Roman" w:cs="Times New Roman"/>
          <w:color w:val="3A3A3A"/>
          <w:sz w:val="24"/>
          <w:szCs w:val="24"/>
          <w:shd w:val="clear" w:color="auto" w:fill="FFFFFF"/>
        </w:rPr>
        <w:t> la sphère d’influence des États-Unis, tandis que, en Europe centrale et orientale, l’URSS contrôle les pays libérés par l’Armée rouge, où des régimes communistes soutenus par Moscou ont pris le pouvoir</w:t>
      </w:r>
      <w:r w:rsidR="00BC0188">
        <w:rPr>
          <w:rFonts w:ascii="Times New Roman" w:hAnsi="Times New Roman" w:cs="Times New Roman"/>
          <w:color w:val="3A3A3A"/>
          <w:sz w:val="24"/>
          <w:szCs w:val="24"/>
          <w:shd w:val="clear" w:color="auto" w:fill="FFFFFF"/>
        </w:rPr>
        <w:t xml:space="preserve"> </w:t>
      </w:r>
      <w:r w:rsidR="006C2913">
        <w:rPr>
          <w:rFonts w:ascii="Times New Roman" w:hAnsi="Times New Roman" w:cs="Times New Roman"/>
          <w:sz w:val="24"/>
          <w:szCs w:val="24"/>
        </w:rPr>
        <w:t xml:space="preserve">: on </w:t>
      </w:r>
      <w:r w:rsidRPr="00435584">
        <w:rPr>
          <w:rFonts w:ascii="Times New Roman" w:hAnsi="Times New Roman" w:cs="Times New Roman"/>
          <w:sz w:val="24"/>
          <w:szCs w:val="24"/>
        </w:rPr>
        <w:t xml:space="preserve"> verra</w:t>
      </w:r>
      <w:r w:rsidR="00435584" w:rsidRPr="00435584">
        <w:rPr>
          <w:rFonts w:ascii="Times New Roman" w:hAnsi="Times New Roman" w:cs="Times New Roman"/>
          <w:sz w:val="24"/>
          <w:szCs w:val="24"/>
        </w:rPr>
        <w:t xml:space="preserve"> d’ailleurs</w:t>
      </w:r>
      <w:r w:rsidR="006C2913">
        <w:rPr>
          <w:rFonts w:ascii="Times New Roman" w:hAnsi="Times New Roman" w:cs="Times New Roman"/>
          <w:sz w:val="24"/>
          <w:szCs w:val="24"/>
        </w:rPr>
        <w:t xml:space="preserve"> en </w:t>
      </w:r>
      <w:r w:rsidR="006C2913" w:rsidRPr="00435584">
        <w:rPr>
          <w:rFonts w:ascii="Times New Roman" w:hAnsi="Times New Roman" w:cs="Times New Roman"/>
          <w:sz w:val="24"/>
          <w:szCs w:val="24"/>
        </w:rPr>
        <w:t>1949</w:t>
      </w:r>
      <w:r w:rsidR="006C2913">
        <w:rPr>
          <w:rFonts w:ascii="Times New Roman" w:hAnsi="Times New Roman" w:cs="Times New Roman"/>
          <w:sz w:val="24"/>
          <w:szCs w:val="24"/>
        </w:rPr>
        <w:t> </w:t>
      </w:r>
      <w:r w:rsidR="00435584" w:rsidRPr="00435584">
        <w:rPr>
          <w:rFonts w:ascii="Times New Roman" w:hAnsi="Times New Roman" w:cs="Times New Roman"/>
          <w:sz w:val="24"/>
          <w:szCs w:val="24"/>
        </w:rPr>
        <w:t xml:space="preserve"> </w:t>
      </w:r>
      <w:r w:rsidRPr="00435584">
        <w:rPr>
          <w:rFonts w:ascii="Times New Roman" w:hAnsi="Times New Roman" w:cs="Times New Roman"/>
          <w:sz w:val="24"/>
          <w:szCs w:val="24"/>
        </w:rPr>
        <w:t xml:space="preserve"> naître </w:t>
      </w:r>
      <w:r w:rsidR="00435584" w:rsidRPr="00435584">
        <w:rPr>
          <w:rFonts w:ascii="Times New Roman" w:hAnsi="Times New Roman" w:cs="Times New Roman"/>
          <w:sz w:val="24"/>
          <w:szCs w:val="24"/>
        </w:rPr>
        <w:t xml:space="preserve">logiquement </w:t>
      </w:r>
      <w:r w:rsidRPr="00435584">
        <w:rPr>
          <w:rFonts w:ascii="Times New Roman" w:hAnsi="Times New Roman" w:cs="Times New Roman"/>
          <w:sz w:val="24"/>
          <w:szCs w:val="24"/>
        </w:rPr>
        <w:t xml:space="preserve">deux états </w:t>
      </w:r>
      <w:r w:rsidR="00435584" w:rsidRPr="00435584">
        <w:rPr>
          <w:rFonts w:ascii="Times New Roman" w:hAnsi="Times New Roman" w:cs="Times New Roman"/>
          <w:sz w:val="24"/>
          <w:szCs w:val="24"/>
        </w:rPr>
        <w:t>allemands</w:t>
      </w:r>
      <w:r w:rsidRPr="00435584">
        <w:rPr>
          <w:rFonts w:ascii="Times New Roman" w:hAnsi="Times New Roman" w:cs="Times New Roman"/>
          <w:sz w:val="24"/>
          <w:szCs w:val="24"/>
        </w:rPr>
        <w:t xml:space="preserve"> antagonistes : la RFA et la RDA</w:t>
      </w:r>
      <w:r w:rsidR="00435584" w:rsidRPr="00435584">
        <w:rPr>
          <w:rFonts w:ascii="Times New Roman" w:hAnsi="Times New Roman" w:cs="Times New Roman"/>
          <w:sz w:val="24"/>
          <w:szCs w:val="24"/>
        </w:rPr>
        <w:t>.</w:t>
      </w:r>
    </w:p>
    <w:p w14:paraId="578E1E1B" w14:textId="50612C23" w:rsidR="005A5679" w:rsidRPr="00DB799D" w:rsidRDefault="00DB799D" w:rsidP="00DB799D">
      <w:pPr>
        <w:pStyle w:val="NormalWeb"/>
        <w:shd w:val="clear" w:color="auto" w:fill="FFFFFF"/>
        <w:spacing w:line="276" w:lineRule="auto"/>
        <w:jc w:val="both"/>
        <w:rPr>
          <w:color w:val="3A3A3A"/>
        </w:rPr>
      </w:pPr>
      <w:r w:rsidRPr="00DB799D">
        <w:rPr>
          <w:color w:val="3A3A3A"/>
        </w:rPr>
        <w:t xml:space="preserve">Le 17 mars 1948, la France, le Royaume-Uni, la Belgique, les Pays-Bas et le Luxembourg ont  signé le </w:t>
      </w:r>
      <w:r w:rsidRPr="00DB799D">
        <w:rPr>
          <w:color w:val="3A3A3A"/>
          <w:u w:val="single"/>
        </w:rPr>
        <w:t>traité de Bruxelles</w:t>
      </w:r>
      <w:r w:rsidRPr="00DB799D">
        <w:rPr>
          <w:color w:val="3A3A3A"/>
        </w:rPr>
        <w:t xml:space="preserve">, qui prévoit une </w:t>
      </w:r>
      <w:r w:rsidRPr="00BC0188">
        <w:rPr>
          <w:color w:val="3A3A3A"/>
          <w:u w:val="single"/>
        </w:rPr>
        <w:t>organisation de défense mutuelle</w:t>
      </w:r>
      <w:r w:rsidRPr="00DB799D">
        <w:rPr>
          <w:color w:val="3A3A3A"/>
        </w:rPr>
        <w:t xml:space="preserve"> en cas de conflit. Ces cinq pays, originaires d’un continent marqué par des siècles de conflits intérieurs mais sorti </w:t>
      </w:r>
      <w:proofErr w:type="gramStart"/>
      <w:r w:rsidRPr="00DB799D">
        <w:rPr>
          <w:color w:val="3A3A3A"/>
        </w:rPr>
        <w:t>épuisé</w:t>
      </w:r>
      <w:proofErr w:type="gramEnd"/>
      <w:r w:rsidRPr="00DB799D">
        <w:rPr>
          <w:color w:val="3A3A3A"/>
        </w:rPr>
        <w:t xml:space="preserve"> des horreurs de la seconde guerre mondiale, décident de s’engager dans la voie d’une solidarité inconditionnelle. Le blocus de Berlin est la première crise majeure dans l’histoire de la guerre froide </w:t>
      </w:r>
      <w:r>
        <w:rPr>
          <w:color w:val="3A3A3A"/>
        </w:rPr>
        <w:t xml:space="preserve">qui </w:t>
      </w:r>
      <w:r w:rsidRPr="00DB799D">
        <w:rPr>
          <w:color w:val="3A3A3A"/>
        </w:rPr>
        <w:t xml:space="preserve">justifie la création de </w:t>
      </w:r>
      <w:r w:rsidRPr="00DB799D">
        <w:rPr>
          <w:color w:val="3A3A3A"/>
          <w:u w:val="single"/>
        </w:rPr>
        <w:t>l’Organisation du traité de l’Atlantique Nord (O</w:t>
      </w:r>
      <w:r w:rsidR="006C2913">
        <w:rPr>
          <w:color w:val="3A3A3A"/>
          <w:u w:val="single"/>
        </w:rPr>
        <w:t>TAN</w:t>
      </w:r>
      <w:r w:rsidRPr="00DB799D">
        <w:rPr>
          <w:color w:val="3A3A3A"/>
          <w:u w:val="single"/>
        </w:rPr>
        <w:t>) en avril 1949.</w:t>
      </w:r>
      <w:r w:rsidRPr="00DB799D">
        <w:rPr>
          <w:color w:val="3A3A3A"/>
        </w:rPr>
        <w:t xml:space="preserve"> Les pays signataires d</w:t>
      </w:r>
      <w:r w:rsidR="006C2913">
        <w:rPr>
          <w:color w:val="3A3A3A"/>
        </w:rPr>
        <w:t>u traité</w:t>
      </w:r>
      <w:r w:rsidRPr="00DB799D">
        <w:rPr>
          <w:color w:val="3A3A3A"/>
        </w:rPr>
        <w:t xml:space="preserve"> se placent sous protection militaire américaine face à la menace soviétique</w:t>
      </w:r>
      <w:r>
        <w:rPr>
          <w:color w:val="3A3A3A"/>
        </w:rPr>
        <w:t>.</w:t>
      </w:r>
    </w:p>
    <w:p w14:paraId="4C427371" w14:textId="62E894D4" w:rsidR="005A5679" w:rsidRPr="005A5679" w:rsidRDefault="005A5679" w:rsidP="00DB799D">
      <w:pPr>
        <w:spacing w:after="150" w:line="276" w:lineRule="auto"/>
        <w:jc w:val="both"/>
        <w:rPr>
          <w:rFonts w:ascii="Times New Roman" w:eastAsia="Times New Roman" w:hAnsi="Times New Roman" w:cs="Times New Roman"/>
          <w:kern w:val="0"/>
          <w:sz w:val="24"/>
          <w:szCs w:val="24"/>
          <w:lang w:eastAsia="fr-FR"/>
          <w14:ligatures w14:val="none"/>
        </w:rPr>
      </w:pPr>
      <w:r w:rsidRPr="005A5679">
        <w:rPr>
          <w:rFonts w:ascii="Times New Roman" w:eastAsia="Times New Roman" w:hAnsi="Times New Roman" w:cs="Times New Roman"/>
          <w:kern w:val="0"/>
          <w:sz w:val="24"/>
          <w:szCs w:val="24"/>
          <w:lang w:eastAsia="fr-FR"/>
          <w14:ligatures w14:val="none"/>
        </w:rPr>
        <w:t xml:space="preserve">En été 1950, pressé par la menace communiste concrétisée par le déclenchement en juin de la guerre de Corée, </w:t>
      </w:r>
      <w:r w:rsidRPr="005A5679">
        <w:rPr>
          <w:rFonts w:ascii="Times New Roman" w:eastAsia="Times New Roman" w:hAnsi="Times New Roman" w:cs="Times New Roman"/>
          <w:kern w:val="0"/>
          <w:sz w:val="24"/>
          <w:szCs w:val="24"/>
          <w:u w:val="single"/>
          <w:lang w:eastAsia="fr-FR"/>
          <w14:ligatures w14:val="none"/>
        </w:rPr>
        <w:t>Jean Monnet</w:t>
      </w:r>
      <w:r w:rsidRPr="005A5679">
        <w:rPr>
          <w:rFonts w:ascii="Times New Roman" w:eastAsia="Times New Roman" w:hAnsi="Times New Roman" w:cs="Times New Roman"/>
          <w:kern w:val="0"/>
          <w:sz w:val="24"/>
          <w:szCs w:val="24"/>
          <w:lang w:eastAsia="fr-FR"/>
          <w14:ligatures w14:val="none"/>
        </w:rPr>
        <w:t xml:space="preserve">, commissaire général du Plan français et inspirateur du plan Schuman, envisage d'organiser la </w:t>
      </w:r>
      <w:r w:rsidRPr="005A5679">
        <w:rPr>
          <w:rFonts w:ascii="Times New Roman" w:eastAsia="Times New Roman" w:hAnsi="Times New Roman" w:cs="Times New Roman"/>
          <w:kern w:val="0"/>
          <w:sz w:val="24"/>
          <w:szCs w:val="24"/>
          <w:u w:val="single"/>
          <w:lang w:eastAsia="fr-FR"/>
          <w14:ligatures w14:val="none"/>
        </w:rPr>
        <w:t>défense de l'Europe dans un cadre supranational</w:t>
      </w:r>
      <w:r w:rsidR="00DB799D">
        <w:rPr>
          <w:rFonts w:ascii="Times New Roman" w:eastAsia="Times New Roman" w:hAnsi="Times New Roman" w:cs="Times New Roman"/>
          <w:kern w:val="0"/>
          <w:sz w:val="24"/>
          <w:szCs w:val="24"/>
          <w:lang w:eastAsia="fr-FR"/>
          <w14:ligatures w14:val="none"/>
        </w:rPr>
        <w:t xml:space="preserve">. </w:t>
      </w:r>
      <w:r w:rsidRPr="005A5679">
        <w:rPr>
          <w:rFonts w:ascii="Times New Roman" w:eastAsia="Times New Roman" w:hAnsi="Times New Roman" w:cs="Times New Roman"/>
          <w:kern w:val="0"/>
          <w:sz w:val="24"/>
          <w:szCs w:val="24"/>
          <w:lang w:eastAsia="fr-FR"/>
          <w14:ligatures w14:val="none"/>
        </w:rPr>
        <w:t>Dans le même temps, les États-Unis demandent à leurs alliés de préparer le réarmement de la RFA</w:t>
      </w:r>
      <w:r>
        <w:rPr>
          <w:rFonts w:ascii="Times New Roman" w:eastAsia="Times New Roman" w:hAnsi="Times New Roman" w:cs="Times New Roman"/>
          <w:kern w:val="0"/>
          <w:sz w:val="24"/>
          <w:szCs w:val="24"/>
          <w:lang w:eastAsia="fr-FR"/>
          <w14:ligatures w14:val="none"/>
        </w:rPr>
        <w:t>, car la RDA a déjà créé une « police encasernée » qui est un embryon d’armée</w:t>
      </w:r>
      <w:r w:rsidRPr="005A5679">
        <w:rPr>
          <w:rFonts w:ascii="Times New Roman" w:eastAsia="Times New Roman" w:hAnsi="Times New Roman" w:cs="Times New Roman"/>
          <w:kern w:val="0"/>
          <w:sz w:val="24"/>
          <w:szCs w:val="24"/>
          <w:lang w:eastAsia="fr-FR"/>
          <w14:ligatures w14:val="none"/>
        </w:rPr>
        <w:t>. Jean Monnet présente son projet à René Pleven, président du Conseil français et ancien ministre de la Défense, qui le soumet à l'Assemblée nationale le 24 octobre 1950.</w:t>
      </w:r>
    </w:p>
    <w:p w14:paraId="39CBAD8E" w14:textId="79779D09" w:rsidR="005A5679" w:rsidRPr="005A5679" w:rsidRDefault="005A5679" w:rsidP="00BC0188">
      <w:pPr>
        <w:spacing w:after="150" w:line="276" w:lineRule="auto"/>
        <w:jc w:val="both"/>
        <w:rPr>
          <w:rFonts w:ascii="Times New Roman" w:eastAsia="Times New Roman" w:hAnsi="Times New Roman" w:cs="Times New Roman"/>
          <w:kern w:val="0"/>
          <w:sz w:val="24"/>
          <w:szCs w:val="24"/>
          <w:lang w:eastAsia="fr-FR"/>
          <w14:ligatures w14:val="none"/>
        </w:rPr>
      </w:pPr>
      <w:r w:rsidRPr="005A5679">
        <w:rPr>
          <w:rFonts w:ascii="Times New Roman" w:eastAsia="Times New Roman" w:hAnsi="Times New Roman" w:cs="Times New Roman"/>
          <w:kern w:val="0"/>
          <w:sz w:val="24"/>
          <w:szCs w:val="24"/>
          <w:lang w:eastAsia="fr-FR"/>
          <w14:ligatures w14:val="none"/>
        </w:rPr>
        <w:t xml:space="preserve">Le projet envisage la mise en place d’une armée européenne permettant d'intégrer les futures unités allemandes dans un ensemble placé sous une autorité européenne unique, militaire et politique. Ce projet suscite de très vifs débats en </w:t>
      </w:r>
      <w:r w:rsidR="0023415E">
        <w:rPr>
          <w:rFonts w:ascii="Times New Roman" w:eastAsia="Times New Roman" w:hAnsi="Times New Roman" w:cs="Times New Roman"/>
          <w:kern w:val="0"/>
          <w:sz w:val="24"/>
          <w:szCs w:val="24"/>
          <w:lang w:eastAsia="fr-FR"/>
          <w14:ligatures w14:val="none"/>
        </w:rPr>
        <w:t>France (</w:t>
      </w:r>
      <w:r w:rsidR="006C2913">
        <w:rPr>
          <w:rFonts w:ascii="Times New Roman" w:eastAsia="Times New Roman" w:hAnsi="Times New Roman" w:cs="Times New Roman"/>
          <w:kern w:val="0"/>
          <w:sz w:val="24"/>
          <w:szCs w:val="24"/>
          <w:lang w:eastAsia="fr-FR"/>
          <w14:ligatures w14:val="none"/>
        </w:rPr>
        <w:t xml:space="preserve"> </w:t>
      </w:r>
      <w:r w:rsidR="0023415E">
        <w:rPr>
          <w:rFonts w:ascii="Times New Roman" w:eastAsia="Times New Roman" w:hAnsi="Times New Roman" w:cs="Times New Roman"/>
          <w:kern w:val="0"/>
          <w:sz w:val="24"/>
          <w:szCs w:val="24"/>
          <w:lang w:eastAsia="fr-FR"/>
          <w14:ligatures w14:val="none"/>
        </w:rPr>
        <w:t>les communistes et les gaullistes y sont vivement opposés)</w:t>
      </w:r>
      <w:r w:rsidRPr="005A5679">
        <w:rPr>
          <w:rFonts w:ascii="Times New Roman" w:eastAsia="Times New Roman" w:hAnsi="Times New Roman" w:cs="Times New Roman"/>
          <w:kern w:val="0"/>
          <w:sz w:val="24"/>
          <w:szCs w:val="24"/>
          <w:lang w:eastAsia="fr-FR"/>
          <w14:ligatures w14:val="none"/>
        </w:rPr>
        <w:t>. Accepté par la plupart des États occidentaux, le </w:t>
      </w:r>
      <w:hyperlink r:id="rId12" w:history="1">
        <w:r w:rsidRPr="005A5679">
          <w:rPr>
            <w:rFonts w:ascii="Times New Roman" w:eastAsia="Times New Roman" w:hAnsi="Times New Roman" w:cs="Times New Roman"/>
            <w:b/>
            <w:bCs/>
            <w:kern w:val="0"/>
            <w:sz w:val="24"/>
            <w:szCs w:val="24"/>
            <w:u w:val="single"/>
            <w:lang w:eastAsia="fr-FR"/>
            <w14:ligatures w14:val="none"/>
          </w:rPr>
          <w:t>projet de Communauté européenne de défense (CED) est rejeté en août 1954</w:t>
        </w:r>
      </w:hyperlink>
      <w:r w:rsidRPr="005A5679">
        <w:rPr>
          <w:rFonts w:ascii="Times New Roman" w:eastAsia="Times New Roman" w:hAnsi="Times New Roman" w:cs="Times New Roman"/>
          <w:kern w:val="0"/>
          <w:sz w:val="24"/>
          <w:szCs w:val="24"/>
          <w:lang w:eastAsia="fr-FR"/>
          <w14:ligatures w14:val="none"/>
        </w:rPr>
        <w:t> par l’Assemblée nationale française.</w:t>
      </w:r>
      <w:r w:rsidRPr="005A5679">
        <w:rPr>
          <w:rFonts w:ascii="Times New Roman" w:eastAsia="Times New Roman" w:hAnsi="Times New Roman" w:cs="Times New Roman"/>
          <w:b/>
          <w:bCs/>
          <w:kern w:val="0"/>
          <w:sz w:val="24"/>
          <w:szCs w:val="24"/>
          <w:lang w:eastAsia="fr-FR"/>
          <w14:ligatures w14:val="none"/>
        </w:rPr>
        <w:t> </w:t>
      </w:r>
      <w:r w:rsidRPr="005A5679">
        <w:rPr>
          <w:rFonts w:ascii="Times New Roman" w:eastAsia="Times New Roman" w:hAnsi="Times New Roman" w:cs="Times New Roman"/>
          <w:kern w:val="0"/>
          <w:sz w:val="24"/>
          <w:szCs w:val="24"/>
          <w:lang w:eastAsia="fr-FR"/>
          <w14:ligatures w14:val="none"/>
        </w:rPr>
        <w:t xml:space="preserve">Finalement, le refus </w:t>
      </w:r>
      <w:r w:rsidR="0023415E" w:rsidRPr="0023415E">
        <w:rPr>
          <w:rFonts w:ascii="Times New Roman" w:eastAsia="Times New Roman" w:hAnsi="Times New Roman" w:cs="Times New Roman"/>
          <w:kern w:val="0"/>
          <w:sz w:val="24"/>
          <w:szCs w:val="24"/>
          <w:lang w:eastAsia="fr-FR"/>
          <w14:ligatures w14:val="none"/>
        </w:rPr>
        <w:t xml:space="preserve">de la France </w:t>
      </w:r>
      <w:r w:rsidRPr="005A5679">
        <w:rPr>
          <w:rFonts w:ascii="Times New Roman" w:eastAsia="Times New Roman" w:hAnsi="Times New Roman" w:cs="Times New Roman"/>
          <w:kern w:val="0"/>
          <w:sz w:val="24"/>
          <w:szCs w:val="24"/>
          <w:lang w:eastAsia="fr-FR"/>
          <w14:ligatures w14:val="none"/>
        </w:rPr>
        <w:t xml:space="preserve">de ratifier le traité instituant la CED entraîne également automatiquement </w:t>
      </w:r>
      <w:r w:rsidRPr="005A5679">
        <w:rPr>
          <w:rFonts w:ascii="Times New Roman" w:eastAsia="Times New Roman" w:hAnsi="Times New Roman" w:cs="Times New Roman"/>
          <w:kern w:val="0"/>
          <w:sz w:val="24"/>
          <w:szCs w:val="24"/>
          <w:u w:val="single"/>
          <w:lang w:eastAsia="fr-FR"/>
          <w14:ligatures w14:val="none"/>
        </w:rPr>
        <w:t>l'abandon du projet de Communauté politique européenne</w:t>
      </w:r>
      <w:r w:rsidRPr="005A5679">
        <w:rPr>
          <w:rFonts w:ascii="Times New Roman" w:eastAsia="Times New Roman" w:hAnsi="Times New Roman" w:cs="Times New Roman"/>
          <w:kern w:val="0"/>
          <w:sz w:val="24"/>
          <w:szCs w:val="24"/>
          <w:lang w:eastAsia="fr-FR"/>
          <w14:ligatures w14:val="none"/>
        </w:rPr>
        <w:t xml:space="preserve"> dont il </w:t>
      </w:r>
      <w:r w:rsidR="00BC0188">
        <w:rPr>
          <w:rFonts w:ascii="Times New Roman" w:eastAsia="Times New Roman" w:hAnsi="Times New Roman" w:cs="Times New Roman"/>
          <w:kern w:val="0"/>
          <w:sz w:val="24"/>
          <w:szCs w:val="24"/>
          <w:lang w:eastAsia="fr-FR"/>
          <w14:ligatures w14:val="none"/>
        </w:rPr>
        <w:t>était</w:t>
      </w:r>
      <w:r w:rsidRPr="005A5679">
        <w:rPr>
          <w:rFonts w:ascii="Times New Roman" w:eastAsia="Times New Roman" w:hAnsi="Times New Roman" w:cs="Times New Roman"/>
          <w:kern w:val="0"/>
          <w:sz w:val="24"/>
          <w:szCs w:val="24"/>
          <w:lang w:eastAsia="fr-FR"/>
          <w14:ligatures w14:val="none"/>
        </w:rPr>
        <w:t xml:space="preserve"> le corollaire institutionnel</w:t>
      </w:r>
      <w:r w:rsidR="0023415E">
        <w:rPr>
          <w:rFonts w:ascii="Times New Roman" w:eastAsia="Times New Roman" w:hAnsi="Times New Roman" w:cs="Times New Roman"/>
          <w:kern w:val="0"/>
          <w:sz w:val="24"/>
          <w:szCs w:val="24"/>
          <w:lang w:eastAsia="fr-FR"/>
          <w14:ligatures w14:val="none"/>
        </w:rPr>
        <w:t xml:space="preserve"> ! Encore un échec de taille pour </w:t>
      </w:r>
      <w:r w:rsidR="00BC0188">
        <w:rPr>
          <w:rFonts w:ascii="Times New Roman" w:eastAsia="Times New Roman" w:hAnsi="Times New Roman" w:cs="Times New Roman"/>
          <w:kern w:val="0"/>
          <w:sz w:val="24"/>
          <w:szCs w:val="24"/>
          <w:lang w:eastAsia="fr-FR"/>
          <w14:ligatures w14:val="none"/>
        </w:rPr>
        <w:t>une u</w:t>
      </w:r>
      <w:r w:rsidR="0023415E">
        <w:rPr>
          <w:rFonts w:ascii="Times New Roman" w:eastAsia="Times New Roman" w:hAnsi="Times New Roman" w:cs="Times New Roman"/>
          <w:kern w:val="0"/>
          <w:sz w:val="24"/>
          <w:szCs w:val="24"/>
          <w:lang w:eastAsia="fr-FR"/>
          <w14:ligatures w14:val="none"/>
        </w:rPr>
        <w:t xml:space="preserve">nion européenne qui mettra des années à se concrétiser, étape après étape. </w:t>
      </w:r>
      <w:r>
        <w:rPr>
          <w:rFonts w:ascii="Times New Roman" w:eastAsia="Times New Roman" w:hAnsi="Times New Roman" w:cs="Times New Roman"/>
          <w:kern w:val="0"/>
          <w:sz w:val="24"/>
          <w:szCs w:val="24"/>
          <w:lang w:eastAsia="fr-FR"/>
          <w14:ligatures w14:val="none"/>
        </w:rPr>
        <w:t xml:space="preserve"> </w:t>
      </w:r>
      <w:r w:rsidRPr="005A5679">
        <w:rPr>
          <w:rFonts w:ascii="Times New Roman" w:eastAsia="Times New Roman" w:hAnsi="Times New Roman" w:cs="Times New Roman"/>
          <w:kern w:val="0"/>
          <w:sz w:val="24"/>
          <w:szCs w:val="24"/>
          <w:lang w:eastAsia="fr-FR"/>
          <w14:ligatures w14:val="none"/>
        </w:rPr>
        <w:t xml:space="preserve">La consternation est générale en Europe occidentale et aux États-Unis. La France, qui s'était fait le champion de la cause </w:t>
      </w:r>
      <w:r w:rsidRPr="005A5679">
        <w:rPr>
          <w:rFonts w:ascii="Times New Roman" w:eastAsia="Times New Roman" w:hAnsi="Times New Roman" w:cs="Times New Roman"/>
          <w:kern w:val="0"/>
          <w:sz w:val="24"/>
          <w:szCs w:val="24"/>
          <w:lang w:eastAsia="fr-FR"/>
          <w14:ligatures w14:val="none"/>
        </w:rPr>
        <w:lastRenderedPageBreak/>
        <w:t>européenne depuis plusieurs années, est sérieusement discréditée par cet abandon.</w:t>
      </w:r>
      <w:r w:rsidR="00DB799D">
        <w:rPr>
          <w:rFonts w:ascii="Times New Roman" w:eastAsia="Times New Roman" w:hAnsi="Times New Roman" w:cs="Times New Roman"/>
          <w:kern w:val="0"/>
          <w:sz w:val="24"/>
          <w:szCs w:val="24"/>
          <w:lang w:eastAsia="fr-FR"/>
          <w14:ligatures w14:val="none"/>
        </w:rPr>
        <w:t xml:space="preserve"> Il faut dire que notre pays reste englué dans une difficile sortie du conflit indochinois</w:t>
      </w:r>
      <w:r w:rsidR="006C2913">
        <w:rPr>
          <w:rFonts w:ascii="Times New Roman" w:eastAsia="Times New Roman" w:hAnsi="Times New Roman" w:cs="Times New Roman"/>
          <w:kern w:val="0"/>
          <w:sz w:val="24"/>
          <w:szCs w:val="24"/>
          <w:lang w:eastAsia="fr-FR"/>
          <w14:ligatures w14:val="none"/>
        </w:rPr>
        <w:t>,</w:t>
      </w:r>
      <w:r w:rsidR="00DB799D">
        <w:rPr>
          <w:rFonts w:ascii="Times New Roman" w:eastAsia="Times New Roman" w:hAnsi="Times New Roman" w:cs="Times New Roman"/>
          <w:kern w:val="0"/>
          <w:sz w:val="24"/>
          <w:szCs w:val="24"/>
          <w:lang w:eastAsia="fr-FR"/>
          <w14:ligatures w14:val="none"/>
        </w:rPr>
        <w:t xml:space="preserve"> après la sévère défaite de Dien Bien Phu. </w:t>
      </w:r>
      <w:r w:rsidRPr="005A5679">
        <w:rPr>
          <w:rFonts w:ascii="Times New Roman" w:eastAsia="Times New Roman" w:hAnsi="Times New Roman" w:cs="Times New Roman"/>
          <w:kern w:val="0"/>
          <w:sz w:val="24"/>
          <w:szCs w:val="24"/>
          <w:lang w:eastAsia="fr-FR"/>
          <w14:ligatures w14:val="none"/>
        </w:rPr>
        <w:t>La déception est immense et appelle une réaction rapide.</w:t>
      </w:r>
      <w:r w:rsidR="00DB799D">
        <w:rPr>
          <w:rFonts w:ascii="Times New Roman" w:eastAsia="Times New Roman" w:hAnsi="Times New Roman" w:cs="Times New Roman"/>
          <w:kern w:val="0"/>
          <w:sz w:val="24"/>
          <w:szCs w:val="24"/>
          <w:lang w:eastAsia="fr-FR"/>
          <w14:ligatures w14:val="none"/>
        </w:rPr>
        <w:t xml:space="preserve"> Les </w:t>
      </w:r>
      <w:r w:rsidR="00BC0188">
        <w:rPr>
          <w:rFonts w:ascii="Times New Roman" w:eastAsia="Times New Roman" w:hAnsi="Times New Roman" w:cs="Times New Roman"/>
          <w:kern w:val="0"/>
          <w:sz w:val="24"/>
          <w:szCs w:val="24"/>
          <w:lang w:eastAsia="fr-FR"/>
          <w14:ligatures w14:val="none"/>
        </w:rPr>
        <w:t>A</w:t>
      </w:r>
      <w:r w:rsidR="00DB799D">
        <w:rPr>
          <w:rFonts w:ascii="Times New Roman" w:eastAsia="Times New Roman" w:hAnsi="Times New Roman" w:cs="Times New Roman"/>
          <w:kern w:val="0"/>
          <w:sz w:val="24"/>
          <w:szCs w:val="24"/>
          <w:lang w:eastAsia="fr-FR"/>
          <w14:ligatures w14:val="none"/>
        </w:rPr>
        <w:t>lliés donn</w:t>
      </w:r>
      <w:r w:rsidR="006C2913">
        <w:rPr>
          <w:rFonts w:ascii="Times New Roman" w:eastAsia="Times New Roman" w:hAnsi="Times New Roman" w:cs="Times New Roman"/>
          <w:kern w:val="0"/>
          <w:sz w:val="24"/>
          <w:szCs w:val="24"/>
          <w:lang w:eastAsia="fr-FR"/>
          <w14:ligatures w14:val="none"/>
        </w:rPr>
        <w:t xml:space="preserve">ent </w:t>
      </w:r>
      <w:r w:rsidR="00DB799D">
        <w:rPr>
          <w:rFonts w:ascii="Times New Roman" w:eastAsia="Times New Roman" w:hAnsi="Times New Roman" w:cs="Times New Roman"/>
          <w:kern w:val="0"/>
          <w:sz w:val="24"/>
          <w:szCs w:val="24"/>
          <w:lang w:eastAsia="fr-FR"/>
          <w14:ligatures w14:val="none"/>
        </w:rPr>
        <w:t>leur accord à la renaissance d’une armée allemande à l’ouest</w:t>
      </w:r>
      <w:r w:rsidR="0023415E">
        <w:rPr>
          <w:rFonts w:ascii="Times New Roman" w:eastAsia="Times New Roman" w:hAnsi="Times New Roman" w:cs="Times New Roman"/>
          <w:kern w:val="0"/>
          <w:sz w:val="24"/>
          <w:szCs w:val="24"/>
          <w:lang w:eastAsia="fr-FR"/>
          <w14:ligatures w14:val="none"/>
        </w:rPr>
        <w:t xml:space="preserve"> : </w:t>
      </w:r>
      <w:r w:rsidR="0023415E" w:rsidRPr="0023415E">
        <w:rPr>
          <w:rFonts w:ascii="Times New Roman" w:eastAsia="Times New Roman" w:hAnsi="Times New Roman" w:cs="Times New Roman"/>
          <w:kern w:val="0"/>
          <w:sz w:val="24"/>
          <w:szCs w:val="24"/>
          <w:u w:val="single"/>
          <w:lang w:eastAsia="fr-FR"/>
          <w14:ligatures w14:val="none"/>
        </w:rPr>
        <w:t>la Bundeswehr verra officiellement le jour en novembre 1955</w:t>
      </w:r>
      <w:r w:rsidR="0023415E" w:rsidRPr="0023415E">
        <w:rPr>
          <w:rFonts w:ascii="Times New Roman" w:eastAsia="Times New Roman" w:hAnsi="Times New Roman" w:cs="Times New Roman"/>
          <w:kern w:val="0"/>
          <w:sz w:val="24"/>
          <w:szCs w:val="24"/>
          <w:lang w:eastAsia="fr-FR"/>
          <w14:ligatures w14:val="none"/>
        </w:rPr>
        <w:t>. Et c’est l’OTAN qui assurera la défense de l’Europe</w:t>
      </w:r>
      <w:r w:rsidR="0023415E">
        <w:rPr>
          <w:rFonts w:ascii="Times New Roman" w:eastAsia="Times New Roman" w:hAnsi="Times New Roman" w:cs="Times New Roman"/>
          <w:kern w:val="0"/>
          <w:sz w:val="24"/>
          <w:szCs w:val="24"/>
          <w:lang w:eastAsia="fr-FR"/>
          <w14:ligatures w14:val="none"/>
        </w:rPr>
        <w:t xml:space="preserve"> sous le « parapluie nucléaire » américain jusqu’à la chute du mur de Berlin. La construction d’une véritable armée européenne n’est toujours pas</w:t>
      </w:r>
      <w:r w:rsidR="006C2913">
        <w:rPr>
          <w:rFonts w:ascii="Times New Roman" w:eastAsia="Times New Roman" w:hAnsi="Times New Roman" w:cs="Times New Roman"/>
          <w:kern w:val="0"/>
          <w:sz w:val="24"/>
          <w:szCs w:val="24"/>
          <w:lang w:eastAsia="fr-FR"/>
          <w14:ligatures w14:val="none"/>
        </w:rPr>
        <w:t xml:space="preserve"> aujourd’hui</w:t>
      </w:r>
      <w:r w:rsidR="0023415E">
        <w:rPr>
          <w:rFonts w:ascii="Times New Roman" w:eastAsia="Times New Roman" w:hAnsi="Times New Roman" w:cs="Times New Roman"/>
          <w:kern w:val="0"/>
          <w:sz w:val="24"/>
          <w:szCs w:val="24"/>
          <w:lang w:eastAsia="fr-FR"/>
          <w14:ligatures w14:val="none"/>
        </w:rPr>
        <w:t xml:space="preserve"> à l’ordre du jour, mais la guerre en Ukraine a accéléré le processus d’un rapprochement</w:t>
      </w:r>
      <w:r w:rsidR="006C2913">
        <w:rPr>
          <w:rFonts w:ascii="Times New Roman" w:eastAsia="Times New Roman" w:hAnsi="Times New Roman" w:cs="Times New Roman"/>
          <w:kern w:val="0"/>
          <w:sz w:val="24"/>
          <w:szCs w:val="24"/>
          <w:lang w:eastAsia="fr-FR"/>
          <w14:ligatures w14:val="none"/>
        </w:rPr>
        <w:t xml:space="preserve"> plus étroit</w:t>
      </w:r>
      <w:r w:rsidR="0023415E">
        <w:rPr>
          <w:rFonts w:ascii="Times New Roman" w:eastAsia="Times New Roman" w:hAnsi="Times New Roman" w:cs="Times New Roman"/>
          <w:kern w:val="0"/>
          <w:sz w:val="24"/>
          <w:szCs w:val="24"/>
          <w:lang w:eastAsia="fr-FR"/>
          <w14:ligatures w14:val="none"/>
        </w:rPr>
        <w:t xml:space="preserve"> de toutes nos forces de défense</w:t>
      </w:r>
      <w:r w:rsidR="00BC0188">
        <w:rPr>
          <w:rFonts w:ascii="Times New Roman" w:eastAsia="Times New Roman" w:hAnsi="Times New Roman" w:cs="Times New Roman"/>
          <w:kern w:val="0"/>
          <w:sz w:val="24"/>
          <w:szCs w:val="24"/>
          <w:lang w:eastAsia="fr-FR"/>
          <w14:ligatures w14:val="none"/>
        </w:rPr>
        <w:t xml:space="preserve"> propres à réaliser des opérations combinées</w:t>
      </w:r>
      <w:r w:rsidR="006C2913">
        <w:rPr>
          <w:rFonts w:ascii="Times New Roman" w:eastAsia="Times New Roman" w:hAnsi="Times New Roman" w:cs="Times New Roman"/>
          <w:kern w:val="0"/>
          <w:sz w:val="24"/>
          <w:szCs w:val="24"/>
          <w:lang w:eastAsia="fr-FR"/>
          <w14:ligatures w14:val="none"/>
        </w:rPr>
        <w:t>.</w:t>
      </w:r>
    </w:p>
    <w:p w14:paraId="37430D53" w14:textId="77777777" w:rsidR="005A5679" w:rsidRDefault="005A5679"/>
    <w:p w14:paraId="053B245B" w14:textId="6E70E1F0" w:rsidR="006C2913" w:rsidRDefault="006C2913" w:rsidP="006C2913">
      <w:pPr>
        <w:ind w:left="708" w:firstLine="708"/>
        <w:rPr>
          <w:rFonts w:ascii="Times New Roman" w:hAnsi="Times New Roman" w:cs="Times New Roman"/>
          <w:b/>
          <w:bCs/>
          <w:color w:val="0033CC"/>
          <w:sz w:val="32"/>
          <w:szCs w:val="32"/>
        </w:rPr>
      </w:pPr>
      <w:r w:rsidRPr="006C2913">
        <w:rPr>
          <w:rFonts w:ascii="Times New Roman" w:hAnsi="Times New Roman" w:cs="Times New Roman"/>
          <w:b/>
          <w:bCs/>
          <w:color w:val="0033CC"/>
          <w:sz w:val="32"/>
          <w:szCs w:val="32"/>
        </w:rPr>
        <w:t>La conquête des pôles</w:t>
      </w:r>
    </w:p>
    <w:p w14:paraId="14CF4DA7" w14:textId="77777777" w:rsidR="00A95F08" w:rsidRDefault="00A95F08" w:rsidP="00A95F08">
      <w:pPr>
        <w:pStyle w:val="NormalWeb"/>
        <w:shd w:val="clear" w:color="auto" w:fill="FFFFFF"/>
        <w:spacing w:before="0" w:beforeAutospacing="0" w:after="150" w:afterAutospacing="0" w:line="276" w:lineRule="auto"/>
        <w:jc w:val="both"/>
        <w:rPr>
          <w:color w:val="333333"/>
        </w:rPr>
      </w:pPr>
    </w:p>
    <w:p w14:paraId="17124DCD" w14:textId="5A441D2D" w:rsidR="008D61CF" w:rsidRDefault="00A95F08" w:rsidP="00A95F08">
      <w:pPr>
        <w:pStyle w:val="NormalWeb"/>
        <w:shd w:val="clear" w:color="auto" w:fill="FFFFFF"/>
        <w:spacing w:before="0" w:beforeAutospacing="0" w:after="150" w:afterAutospacing="0" w:line="276" w:lineRule="auto"/>
        <w:jc w:val="both"/>
        <w:rPr>
          <w:color w:val="333333"/>
        </w:rPr>
      </w:pPr>
      <w:r w:rsidRPr="00A95F08">
        <w:rPr>
          <w:color w:val="5A5A5A"/>
        </w:rPr>
        <w:t xml:space="preserve">Depuis la fin du XVIIIe siècle, l’intérêt des nations pour le </w:t>
      </w:r>
      <w:r w:rsidRPr="00A95F08">
        <w:rPr>
          <w:b/>
          <w:bCs/>
          <w:color w:val="5A5A5A"/>
        </w:rPr>
        <w:t>pôle Nord</w:t>
      </w:r>
      <w:r w:rsidRPr="00A95F08">
        <w:rPr>
          <w:color w:val="5A5A5A"/>
        </w:rPr>
        <w:t xml:space="preserve"> s’intensifie, à tel point qu’au </w:t>
      </w:r>
      <w:r w:rsidRPr="00A95F08">
        <w:rPr>
          <w:color w:val="5A5A5A"/>
          <w:u w:val="single"/>
        </w:rPr>
        <w:t>XIXe siècle, de nombreux explorateurs s’aventurent au-delà du cercle polaire arctique.</w:t>
      </w:r>
      <w:r w:rsidRPr="00A95F08">
        <w:rPr>
          <w:color w:val="5A5A5A"/>
        </w:rPr>
        <w:t xml:space="preserve"> Les Américains Robert Peary et Frederick Cook affirmeront chacun de leur côté l’avoir atteint en 1909. Quant à </w:t>
      </w:r>
      <w:r w:rsidRPr="00A95F08">
        <w:rPr>
          <w:color w:val="5A5A5A"/>
          <w:u w:val="single"/>
        </w:rPr>
        <w:t>l’empire russe</w:t>
      </w:r>
      <w:r w:rsidRPr="00A95F08">
        <w:rPr>
          <w:color w:val="5A5A5A"/>
        </w:rPr>
        <w:t xml:space="preserve">, il a forgé lentement sa conquête de la Sibérie et des </w:t>
      </w:r>
      <w:r w:rsidR="008D61CF">
        <w:rPr>
          <w:color w:val="5A5A5A"/>
        </w:rPr>
        <w:t>î</w:t>
      </w:r>
      <w:r w:rsidRPr="00A95F08">
        <w:rPr>
          <w:color w:val="5A5A5A"/>
        </w:rPr>
        <w:t xml:space="preserve">les arctiques, tout en occupant aussi l’Alaska. Le </w:t>
      </w:r>
      <w:r w:rsidRPr="00A95F08">
        <w:rPr>
          <w:color w:val="5A5A5A"/>
          <w:u w:val="single"/>
        </w:rPr>
        <w:t>Canada</w:t>
      </w:r>
      <w:r w:rsidRPr="00A95F08">
        <w:rPr>
          <w:color w:val="5A5A5A"/>
        </w:rPr>
        <w:t xml:space="preserve"> a contribué lui aussi à cette aventure polaire. </w:t>
      </w:r>
      <w:r>
        <w:rPr>
          <w:color w:val="5A5A5A"/>
        </w:rPr>
        <w:t>En ce qui concerne</w:t>
      </w:r>
      <w:r w:rsidR="008D61CF">
        <w:rPr>
          <w:color w:val="5A5A5A"/>
        </w:rPr>
        <w:t xml:space="preserve"> l’intérêt marqué pour</w:t>
      </w:r>
      <w:r>
        <w:rPr>
          <w:color w:val="5A5A5A"/>
        </w:rPr>
        <w:t xml:space="preserve"> l’immense </w:t>
      </w:r>
      <w:r w:rsidRPr="008D61CF">
        <w:rPr>
          <w:b/>
          <w:bCs/>
          <w:color w:val="5A5A5A"/>
        </w:rPr>
        <w:t>continent antarctique glacé</w:t>
      </w:r>
      <w:r>
        <w:rPr>
          <w:color w:val="5A5A5A"/>
        </w:rPr>
        <w:t xml:space="preserve">, il n’est que la </w:t>
      </w:r>
      <w:r w:rsidR="008D61CF">
        <w:rPr>
          <w:color w:val="5A5A5A"/>
        </w:rPr>
        <w:t xml:space="preserve"> suite logique </w:t>
      </w:r>
      <w:r>
        <w:rPr>
          <w:color w:val="5A5A5A"/>
        </w:rPr>
        <w:t>de la re</w:t>
      </w:r>
      <w:r w:rsidR="008D61CF">
        <w:rPr>
          <w:color w:val="5A5A5A"/>
        </w:rPr>
        <w:t>c</w:t>
      </w:r>
      <w:r>
        <w:rPr>
          <w:color w:val="5A5A5A"/>
        </w:rPr>
        <w:t>herche d’un</w:t>
      </w:r>
      <w:r w:rsidR="008D61CF">
        <w:rPr>
          <w:color w:val="5A5A5A"/>
        </w:rPr>
        <w:t xml:space="preserve"> mythique continent austral. </w:t>
      </w:r>
    </w:p>
    <w:p w14:paraId="60B9BBBE" w14:textId="14E495FF" w:rsidR="00A95F08" w:rsidRPr="00A95F08" w:rsidRDefault="00A95F08" w:rsidP="008D61CF">
      <w:pPr>
        <w:pStyle w:val="NormalWeb"/>
        <w:shd w:val="clear" w:color="auto" w:fill="FFFFFF"/>
        <w:spacing w:before="0" w:beforeAutospacing="0" w:after="150" w:afterAutospacing="0" w:line="276" w:lineRule="auto"/>
        <w:jc w:val="both"/>
        <w:rPr>
          <w:color w:val="333333"/>
        </w:rPr>
      </w:pPr>
      <w:r w:rsidRPr="00A95F08">
        <w:rPr>
          <w:color w:val="333333"/>
        </w:rPr>
        <w:t>Pour Paul-Émile Victor, « </w:t>
      </w:r>
      <w:r w:rsidRPr="008D61CF">
        <w:rPr>
          <w:i/>
          <w:iCs/>
          <w:color w:val="333333"/>
        </w:rPr>
        <w:t>rien dans l’histoire de l’homme, dans l’histoire des hommes, jamais, ne pourra se comparer à ce que l’homme a réalisé pour “la conquête des pôles</w:t>
      </w:r>
      <w:r w:rsidRPr="00A95F08">
        <w:rPr>
          <w:color w:val="333333"/>
        </w:rPr>
        <w:t xml:space="preserve">” ». Si l’explorateur place ces derniers mots entre guillemets, c’est parce qu’ils ne lui semblent pas traduire au mieux ce qui constitue le cœur de l’exploration polaire. Car plus encore que la conquête, c’est la </w:t>
      </w:r>
      <w:r w:rsidRPr="008D61CF">
        <w:rPr>
          <w:color w:val="333333"/>
          <w:u w:val="single"/>
        </w:rPr>
        <w:t>formidable adaptation de l’être humain aux conditions les plus inhumaines que révèlent ces expéditions héroïques</w:t>
      </w:r>
      <w:r w:rsidRPr="00A95F08">
        <w:rPr>
          <w:color w:val="333333"/>
        </w:rPr>
        <w:t xml:space="preserve">. Nous vous </w:t>
      </w:r>
      <w:r w:rsidR="008D61CF" w:rsidRPr="00A95F08">
        <w:rPr>
          <w:color w:val="333333"/>
        </w:rPr>
        <w:t>emmèn</w:t>
      </w:r>
      <w:r w:rsidR="008D61CF">
        <w:rPr>
          <w:color w:val="333333"/>
        </w:rPr>
        <w:t>er</w:t>
      </w:r>
      <w:r w:rsidR="008D61CF" w:rsidRPr="00A95F08">
        <w:rPr>
          <w:color w:val="333333"/>
        </w:rPr>
        <w:t>ons</w:t>
      </w:r>
      <w:r w:rsidRPr="00A95F08">
        <w:rPr>
          <w:color w:val="333333"/>
        </w:rPr>
        <w:t xml:space="preserve"> à la rencontre de quelques figures emblématiques de </w:t>
      </w:r>
      <w:r w:rsidRPr="008D61CF">
        <w:rPr>
          <w:color w:val="333333"/>
          <w:u w:val="single"/>
        </w:rPr>
        <w:t>l’exploration du pôle Sud et du pôle Nord</w:t>
      </w:r>
      <w:r w:rsidRPr="00A95F08">
        <w:rPr>
          <w:color w:val="333333"/>
        </w:rPr>
        <w:t>.</w:t>
      </w:r>
    </w:p>
    <w:p w14:paraId="50644E73" w14:textId="371FC957" w:rsidR="00A95F08" w:rsidRPr="00A95F08" w:rsidRDefault="00A95F08" w:rsidP="008D61CF">
      <w:pPr>
        <w:pStyle w:val="NormalWeb"/>
        <w:shd w:val="clear" w:color="auto" w:fill="FFFFFF"/>
        <w:spacing w:before="0" w:beforeAutospacing="0" w:after="150" w:afterAutospacing="0" w:line="276" w:lineRule="auto"/>
        <w:jc w:val="both"/>
        <w:rPr>
          <w:color w:val="333333"/>
        </w:rPr>
      </w:pPr>
      <w:r w:rsidRPr="00A95F08">
        <w:rPr>
          <w:color w:val="333333"/>
        </w:rPr>
        <w:t xml:space="preserve">Parmi tous les pionniers des aventures polaires, </w:t>
      </w:r>
      <w:r w:rsidRPr="00A95F08">
        <w:rPr>
          <w:color w:val="333333"/>
          <w:u w:val="single"/>
        </w:rPr>
        <w:t>Nansen et Shackleton</w:t>
      </w:r>
      <w:r w:rsidRPr="00A95F08">
        <w:rPr>
          <w:color w:val="333333"/>
        </w:rPr>
        <w:t xml:space="preserve"> s’imposent comme les figures les plus inspirantes, car malgré l’échec de leurs expéditions respectives, ils ont fait de la survie de leurs hommes leur absolue priorité et ont été célébrés par leurs propres compagnons comme des leaders charismatiques et modèles. </w:t>
      </w:r>
      <w:r w:rsidR="00826E8E">
        <w:rPr>
          <w:color w:val="333333"/>
        </w:rPr>
        <w:t>Au pôle sud, l</w:t>
      </w:r>
      <w:r w:rsidRPr="00A95F08">
        <w:rPr>
          <w:color w:val="333333"/>
        </w:rPr>
        <w:t xml:space="preserve">es concurrents </w:t>
      </w:r>
      <w:r w:rsidRPr="00A95F08">
        <w:rPr>
          <w:color w:val="333333"/>
          <w:u w:val="single"/>
        </w:rPr>
        <w:t>Amundsen et Scott</w:t>
      </w:r>
      <w:r w:rsidRPr="00A95F08">
        <w:rPr>
          <w:color w:val="333333"/>
        </w:rPr>
        <w:t xml:space="preserve"> </w:t>
      </w:r>
      <w:r>
        <w:rPr>
          <w:color w:val="333333"/>
        </w:rPr>
        <w:t xml:space="preserve"> -dont toute l’équipe mourra de froid et de faim- </w:t>
      </w:r>
      <w:r w:rsidRPr="00A95F08">
        <w:rPr>
          <w:color w:val="333333"/>
        </w:rPr>
        <w:t xml:space="preserve">passionnent d’une autre façon, notamment parce que l’histoire de leur course impitoyable illustre </w:t>
      </w:r>
      <w:r w:rsidR="00826E8E">
        <w:rPr>
          <w:color w:val="333333"/>
        </w:rPr>
        <w:t xml:space="preserve">une </w:t>
      </w:r>
      <w:r w:rsidRPr="00A95F08">
        <w:rPr>
          <w:color w:val="333333"/>
        </w:rPr>
        <w:t>ambition immodérée</w:t>
      </w:r>
      <w:r w:rsidR="00826E8E">
        <w:rPr>
          <w:color w:val="333333"/>
        </w:rPr>
        <w:t>, celle</w:t>
      </w:r>
      <w:r w:rsidRPr="00A95F08">
        <w:rPr>
          <w:color w:val="333333"/>
        </w:rPr>
        <w:t xml:space="preserve"> des pionniers d</w:t>
      </w:r>
      <w:r w:rsidR="00826E8E">
        <w:rPr>
          <w:color w:val="333333"/>
        </w:rPr>
        <w:t>e la conquête à tout prix</w:t>
      </w:r>
      <w:r w:rsidRPr="00A95F08">
        <w:rPr>
          <w:color w:val="333333"/>
        </w:rPr>
        <w:t>.</w:t>
      </w:r>
      <w:r w:rsidR="008D61CF">
        <w:rPr>
          <w:color w:val="333333"/>
        </w:rPr>
        <w:t xml:space="preserve"> Il </w:t>
      </w:r>
      <w:r w:rsidR="00826E8E">
        <w:rPr>
          <w:color w:val="333333"/>
        </w:rPr>
        <w:t xml:space="preserve">nous </w:t>
      </w:r>
      <w:r w:rsidR="008D61CF">
        <w:rPr>
          <w:color w:val="333333"/>
        </w:rPr>
        <w:t>faudra ensuite évoquer la méthodique conquête de l’Antarctique au XX</w:t>
      </w:r>
      <w:r w:rsidR="008D61CF" w:rsidRPr="00BC0188">
        <w:rPr>
          <w:color w:val="333333"/>
          <w:vertAlign w:val="superscript"/>
        </w:rPr>
        <w:t>e</w:t>
      </w:r>
      <w:r w:rsidR="008D61CF">
        <w:rPr>
          <w:color w:val="333333"/>
        </w:rPr>
        <w:t xml:space="preserve"> siècle (année géophysique internationale de 1957) et les conséquences du réchauffement climatique avec l’ouverture au pôle nord du </w:t>
      </w:r>
      <w:r w:rsidR="008D61CF" w:rsidRPr="008D61CF">
        <w:rPr>
          <w:color w:val="333333"/>
          <w:u w:val="single"/>
        </w:rPr>
        <w:t>mythique</w:t>
      </w:r>
      <w:r w:rsidR="008D61CF">
        <w:rPr>
          <w:color w:val="333333"/>
          <w:u w:val="single"/>
        </w:rPr>
        <w:t xml:space="preserve"> passage</w:t>
      </w:r>
      <w:r w:rsidR="008D61CF" w:rsidRPr="008D61CF">
        <w:rPr>
          <w:color w:val="333333"/>
          <w:u w:val="single"/>
        </w:rPr>
        <w:t xml:space="preserve"> du nord-ouest</w:t>
      </w:r>
      <w:r w:rsidR="008D61CF">
        <w:rPr>
          <w:color w:val="333333"/>
        </w:rPr>
        <w:t xml:space="preserve"> qui a rallumé les tensions internationales entre les trois grandes puissances que sont les USA, la Russie et la Chine.</w:t>
      </w:r>
    </w:p>
    <w:p w14:paraId="31DE347B" w14:textId="77777777" w:rsidR="00A95F08" w:rsidRPr="006C2913" w:rsidRDefault="00A95F08" w:rsidP="006C2913">
      <w:pPr>
        <w:ind w:left="708" w:firstLine="708"/>
        <w:rPr>
          <w:rFonts w:ascii="Times New Roman" w:hAnsi="Times New Roman" w:cs="Times New Roman"/>
          <w:b/>
          <w:bCs/>
          <w:color w:val="0033CC"/>
          <w:sz w:val="32"/>
          <w:szCs w:val="32"/>
        </w:rPr>
      </w:pPr>
    </w:p>
    <w:sectPr w:rsidR="00A95F08" w:rsidRPr="006C29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D7591B"/>
    <w:multiLevelType w:val="multilevel"/>
    <w:tmpl w:val="70FAB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9521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679"/>
    <w:rsid w:val="0023415E"/>
    <w:rsid w:val="00435584"/>
    <w:rsid w:val="005A5679"/>
    <w:rsid w:val="006C2913"/>
    <w:rsid w:val="00826E8E"/>
    <w:rsid w:val="008D61CF"/>
    <w:rsid w:val="00A95F08"/>
    <w:rsid w:val="00BC0188"/>
    <w:rsid w:val="00DB79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5E9A7"/>
  <w15:chartTrackingRefBased/>
  <w15:docId w15:val="{2806C97D-68A5-479F-B955-D87749601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5A5679"/>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fr-FR"/>
      <w14:ligatures w14:val="none"/>
    </w:rPr>
  </w:style>
  <w:style w:type="paragraph" w:styleId="Titre3">
    <w:name w:val="heading 3"/>
    <w:basedOn w:val="Normal"/>
    <w:next w:val="Normal"/>
    <w:link w:val="Titre3Car"/>
    <w:uiPriority w:val="9"/>
    <w:unhideWhenUsed/>
    <w:qFormat/>
    <w:rsid w:val="00A95F0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5A5679"/>
    <w:rPr>
      <w:rFonts w:ascii="Times New Roman" w:eastAsia="Times New Roman" w:hAnsi="Times New Roman" w:cs="Times New Roman"/>
      <w:b/>
      <w:bCs/>
      <w:kern w:val="0"/>
      <w:sz w:val="36"/>
      <w:szCs w:val="36"/>
      <w:lang w:eastAsia="fr-FR"/>
      <w14:ligatures w14:val="none"/>
    </w:rPr>
  </w:style>
  <w:style w:type="paragraph" w:customStyle="1" w:styleId="context">
    <w:name w:val="context"/>
    <w:basedOn w:val="Normal"/>
    <w:rsid w:val="005A5679"/>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ienhypertexte">
    <w:name w:val="Hyperlink"/>
    <w:basedOn w:val="Policepardfaut"/>
    <w:uiPriority w:val="99"/>
    <w:semiHidden/>
    <w:unhideWhenUsed/>
    <w:rsid w:val="005A5679"/>
    <w:rPr>
      <w:color w:val="0000FF"/>
      <w:u w:val="single"/>
    </w:rPr>
  </w:style>
  <w:style w:type="paragraph" w:customStyle="1" w:styleId="resources">
    <w:name w:val="resources"/>
    <w:basedOn w:val="Normal"/>
    <w:rsid w:val="005A5679"/>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customStyle="1" w:styleId="western">
    <w:name w:val="western"/>
    <w:basedOn w:val="Normal"/>
    <w:rsid w:val="005A5679"/>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Accentuation">
    <w:name w:val="Emphasis"/>
    <w:basedOn w:val="Policepardfaut"/>
    <w:uiPriority w:val="20"/>
    <w:qFormat/>
    <w:rsid w:val="00435584"/>
    <w:rPr>
      <w:i/>
      <w:iCs/>
    </w:rPr>
  </w:style>
  <w:style w:type="paragraph" w:styleId="NormalWeb">
    <w:name w:val="Normal (Web)"/>
    <w:basedOn w:val="Normal"/>
    <w:uiPriority w:val="99"/>
    <w:unhideWhenUsed/>
    <w:rsid w:val="00DB799D"/>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Titre3Car">
    <w:name w:val="Titre 3 Car"/>
    <w:basedOn w:val="Policepardfaut"/>
    <w:link w:val="Titre3"/>
    <w:uiPriority w:val="9"/>
    <w:rsid w:val="00A95F08"/>
    <w:rPr>
      <w:rFonts w:asciiTheme="majorHAnsi" w:eastAsiaTheme="majorEastAsia" w:hAnsiTheme="majorHAnsi" w:cstheme="majorBidi"/>
      <w:color w:val="1F3763" w:themeColor="accent1" w:themeShade="7F"/>
      <w:sz w:val="24"/>
      <w:szCs w:val="24"/>
    </w:rPr>
  </w:style>
  <w:style w:type="paragraph" w:customStyle="1" w:styleId="has-text-align-center">
    <w:name w:val="has-text-align-center"/>
    <w:basedOn w:val="Normal"/>
    <w:rsid w:val="00A95F08"/>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A95F08"/>
    <w:rPr>
      <w:b/>
      <w:bCs/>
    </w:rPr>
  </w:style>
  <w:style w:type="character" w:styleId="Marquedecommentaire">
    <w:name w:val="annotation reference"/>
    <w:basedOn w:val="Policepardfaut"/>
    <w:uiPriority w:val="99"/>
    <w:semiHidden/>
    <w:unhideWhenUsed/>
    <w:rsid w:val="008D61CF"/>
    <w:rPr>
      <w:sz w:val="16"/>
      <w:szCs w:val="16"/>
    </w:rPr>
  </w:style>
  <w:style w:type="paragraph" w:styleId="Commentaire">
    <w:name w:val="annotation text"/>
    <w:basedOn w:val="Normal"/>
    <w:link w:val="CommentaireCar"/>
    <w:uiPriority w:val="99"/>
    <w:semiHidden/>
    <w:unhideWhenUsed/>
    <w:rsid w:val="008D61CF"/>
    <w:pPr>
      <w:spacing w:line="240" w:lineRule="auto"/>
    </w:pPr>
    <w:rPr>
      <w:sz w:val="20"/>
      <w:szCs w:val="20"/>
    </w:rPr>
  </w:style>
  <w:style w:type="character" w:customStyle="1" w:styleId="CommentaireCar">
    <w:name w:val="Commentaire Car"/>
    <w:basedOn w:val="Policepardfaut"/>
    <w:link w:val="Commentaire"/>
    <w:uiPriority w:val="99"/>
    <w:semiHidden/>
    <w:rsid w:val="008D61CF"/>
    <w:rPr>
      <w:sz w:val="20"/>
      <w:szCs w:val="20"/>
    </w:rPr>
  </w:style>
  <w:style w:type="paragraph" w:styleId="Objetducommentaire">
    <w:name w:val="annotation subject"/>
    <w:basedOn w:val="Commentaire"/>
    <w:next w:val="Commentaire"/>
    <w:link w:val="ObjetducommentaireCar"/>
    <w:uiPriority w:val="99"/>
    <w:semiHidden/>
    <w:unhideWhenUsed/>
    <w:rsid w:val="008D61CF"/>
    <w:rPr>
      <w:b/>
      <w:bCs/>
    </w:rPr>
  </w:style>
  <w:style w:type="character" w:customStyle="1" w:styleId="ObjetducommentaireCar">
    <w:name w:val="Objet du commentaire Car"/>
    <w:basedOn w:val="CommentaireCar"/>
    <w:link w:val="Objetducommentaire"/>
    <w:uiPriority w:val="99"/>
    <w:semiHidden/>
    <w:rsid w:val="008D61C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90698">
      <w:bodyDiv w:val="1"/>
      <w:marLeft w:val="0"/>
      <w:marRight w:val="0"/>
      <w:marTop w:val="0"/>
      <w:marBottom w:val="0"/>
      <w:divBdr>
        <w:top w:val="none" w:sz="0" w:space="0" w:color="auto"/>
        <w:left w:val="none" w:sz="0" w:space="0" w:color="auto"/>
        <w:bottom w:val="none" w:sz="0" w:space="0" w:color="auto"/>
        <w:right w:val="none" w:sz="0" w:space="0" w:color="auto"/>
      </w:divBdr>
      <w:divsChild>
        <w:div w:id="1244874260">
          <w:marLeft w:val="0"/>
          <w:marRight w:val="0"/>
          <w:marTop w:val="0"/>
          <w:marBottom w:val="0"/>
          <w:divBdr>
            <w:top w:val="none" w:sz="0" w:space="0" w:color="auto"/>
            <w:left w:val="none" w:sz="0" w:space="0" w:color="auto"/>
            <w:bottom w:val="none" w:sz="0" w:space="0" w:color="auto"/>
            <w:right w:val="none" w:sz="0" w:space="0" w:color="auto"/>
          </w:divBdr>
        </w:div>
        <w:div w:id="136655308">
          <w:marLeft w:val="0"/>
          <w:marRight w:val="0"/>
          <w:marTop w:val="0"/>
          <w:marBottom w:val="0"/>
          <w:divBdr>
            <w:top w:val="none" w:sz="0" w:space="0" w:color="auto"/>
            <w:left w:val="none" w:sz="0" w:space="0" w:color="auto"/>
            <w:bottom w:val="none" w:sz="0" w:space="0" w:color="auto"/>
            <w:right w:val="none" w:sz="0" w:space="0" w:color="auto"/>
          </w:divBdr>
        </w:div>
        <w:div w:id="1787698922">
          <w:marLeft w:val="0"/>
          <w:marRight w:val="0"/>
          <w:marTop w:val="0"/>
          <w:marBottom w:val="0"/>
          <w:divBdr>
            <w:top w:val="none" w:sz="0" w:space="0" w:color="auto"/>
            <w:left w:val="none" w:sz="0" w:space="0" w:color="auto"/>
            <w:bottom w:val="none" w:sz="0" w:space="0" w:color="auto"/>
            <w:right w:val="none" w:sz="0" w:space="0" w:color="auto"/>
          </w:divBdr>
        </w:div>
        <w:div w:id="120999925">
          <w:marLeft w:val="0"/>
          <w:marRight w:val="0"/>
          <w:marTop w:val="0"/>
          <w:marBottom w:val="0"/>
          <w:divBdr>
            <w:top w:val="none" w:sz="0" w:space="0" w:color="auto"/>
            <w:left w:val="none" w:sz="0" w:space="0" w:color="auto"/>
            <w:bottom w:val="none" w:sz="0" w:space="0" w:color="auto"/>
            <w:right w:val="none" w:sz="0" w:space="0" w:color="auto"/>
          </w:divBdr>
        </w:div>
      </w:divsChild>
    </w:div>
    <w:div w:id="625234819">
      <w:bodyDiv w:val="1"/>
      <w:marLeft w:val="0"/>
      <w:marRight w:val="0"/>
      <w:marTop w:val="0"/>
      <w:marBottom w:val="0"/>
      <w:divBdr>
        <w:top w:val="none" w:sz="0" w:space="0" w:color="auto"/>
        <w:left w:val="none" w:sz="0" w:space="0" w:color="auto"/>
        <w:bottom w:val="none" w:sz="0" w:space="0" w:color="auto"/>
        <w:right w:val="none" w:sz="0" w:space="0" w:color="auto"/>
      </w:divBdr>
      <w:divsChild>
        <w:div w:id="1292436818">
          <w:marLeft w:val="0"/>
          <w:marRight w:val="0"/>
          <w:marTop w:val="0"/>
          <w:marBottom w:val="0"/>
          <w:divBdr>
            <w:top w:val="none" w:sz="0" w:space="0" w:color="auto"/>
            <w:left w:val="none" w:sz="0" w:space="0" w:color="auto"/>
            <w:bottom w:val="none" w:sz="0" w:space="0" w:color="auto"/>
            <w:right w:val="none" w:sz="0" w:space="0" w:color="auto"/>
          </w:divBdr>
        </w:div>
      </w:divsChild>
    </w:div>
    <w:div w:id="630095580">
      <w:bodyDiv w:val="1"/>
      <w:marLeft w:val="0"/>
      <w:marRight w:val="0"/>
      <w:marTop w:val="0"/>
      <w:marBottom w:val="0"/>
      <w:divBdr>
        <w:top w:val="none" w:sz="0" w:space="0" w:color="auto"/>
        <w:left w:val="none" w:sz="0" w:space="0" w:color="auto"/>
        <w:bottom w:val="none" w:sz="0" w:space="0" w:color="auto"/>
        <w:right w:val="none" w:sz="0" w:space="0" w:color="auto"/>
      </w:divBdr>
    </w:div>
    <w:div w:id="2111654527">
      <w:bodyDiv w:val="1"/>
      <w:marLeft w:val="0"/>
      <w:marRight w:val="0"/>
      <w:marTop w:val="0"/>
      <w:marBottom w:val="0"/>
      <w:divBdr>
        <w:top w:val="none" w:sz="0" w:space="0" w:color="auto"/>
        <w:left w:val="none" w:sz="0" w:space="0" w:color="auto"/>
        <w:bottom w:val="none" w:sz="0" w:space="0" w:color="auto"/>
        <w:right w:val="none" w:sz="0" w:space="0" w:color="auto"/>
      </w:divBdr>
      <w:divsChild>
        <w:div w:id="337197920">
          <w:marLeft w:val="0"/>
          <w:marRight w:val="0"/>
          <w:marTop w:val="0"/>
          <w:marBottom w:val="0"/>
          <w:divBdr>
            <w:top w:val="none" w:sz="0" w:space="0" w:color="auto"/>
            <w:left w:val="none" w:sz="0" w:space="0" w:color="auto"/>
            <w:bottom w:val="none" w:sz="0" w:space="0" w:color="auto"/>
            <w:right w:val="none" w:sz="0" w:space="0" w:color="auto"/>
          </w:divBdr>
        </w:div>
        <w:div w:id="20411211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D%C3%A9mocratisat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r.wikipedia.org/wiki/Troisi%C3%A8me_Reich" TargetMode="External"/><Relationship Id="rId12" Type="http://schemas.openxmlformats.org/officeDocument/2006/relationships/hyperlink" Target="http://www.cvce.eu/object-content/-/object/350e5110-0a97-4dc9-998d-03099660bd8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wikipedia.org/wiki/Capitulation" TargetMode="External"/><Relationship Id="rId11" Type="http://schemas.openxmlformats.org/officeDocument/2006/relationships/hyperlink" Target="https://fr.wikipedia.org/wiki/D%C3%A9centralisation" TargetMode="External"/><Relationship Id="rId5" Type="http://schemas.openxmlformats.org/officeDocument/2006/relationships/hyperlink" Target="https://fr.wikipedia.org/wiki/Alli%C3%A9s" TargetMode="External"/><Relationship Id="rId10" Type="http://schemas.openxmlformats.org/officeDocument/2006/relationships/hyperlink" Target="https://fr.wikipedia.org/wiki/D%C3%A9nazification" TargetMode="External"/><Relationship Id="rId4" Type="http://schemas.openxmlformats.org/officeDocument/2006/relationships/webSettings" Target="webSettings.xml"/><Relationship Id="rId9" Type="http://schemas.openxmlformats.org/officeDocument/2006/relationships/hyperlink" Target="https://fr.wikipedia.org/wiki/D%C3%A9militarisation"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1082</Words>
  <Characters>5955</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Maigre</dc:creator>
  <cp:keywords/>
  <dc:description/>
  <cp:lastModifiedBy>José Maigre</cp:lastModifiedBy>
  <cp:revision>4</cp:revision>
  <dcterms:created xsi:type="dcterms:W3CDTF">2024-09-16T08:47:00Z</dcterms:created>
  <dcterms:modified xsi:type="dcterms:W3CDTF">2024-09-16T10:20:00Z</dcterms:modified>
</cp:coreProperties>
</file>