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25A82D" w14:textId="0A281210" w:rsidR="00C42ADB" w:rsidRPr="00C01279" w:rsidRDefault="00C42ADB" w:rsidP="00C42ADB">
      <w:pPr>
        <w:pStyle w:val="Paragraphedeliste"/>
        <w:jc w:val="center"/>
        <w:rPr>
          <w:b/>
          <w:bCs/>
        </w:rPr>
      </w:pPr>
      <w:r w:rsidRPr="007D0B96">
        <w:rPr>
          <w:b/>
          <w:bCs/>
          <w:sz w:val="28"/>
          <w:szCs w:val="28"/>
        </w:rPr>
        <w:t>La</w:t>
      </w:r>
      <w:r w:rsidRPr="007D0B96">
        <w:rPr>
          <w:b/>
          <w:bCs/>
          <w:sz w:val="28"/>
          <w:szCs w:val="28"/>
        </w:rPr>
        <w:t xml:space="preserve"> prospérité pour toujours !</w:t>
      </w:r>
    </w:p>
    <w:p w14:paraId="1593BBA1" w14:textId="7E77E331" w:rsidR="0065728C" w:rsidRDefault="00C42ADB" w:rsidP="00C42ADB">
      <w:pPr>
        <w:jc w:val="center"/>
      </w:pPr>
      <w:r>
        <w:t>Documents complémentaires</w:t>
      </w:r>
    </w:p>
    <w:p w14:paraId="20C93BAA" w14:textId="77777777" w:rsidR="00C42ADB" w:rsidRDefault="00C42ADB" w:rsidP="00C42ADB">
      <w:pPr>
        <w:jc w:val="center"/>
      </w:pPr>
    </w:p>
    <w:p w14:paraId="62984E2F" w14:textId="2D0E4220" w:rsidR="00C42ADB" w:rsidRPr="00C42ADB" w:rsidRDefault="00C42ADB" w:rsidP="00C42ADB">
      <w:pPr>
        <w:rPr>
          <w:b/>
          <w:bCs/>
        </w:rPr>
      </w:pPr>
      <w:proofErr w:type="gramStart"/>
      <w:r w:rsidRPr="00C42ADB">
        <w:rPr>
          <w:b/>
          <w:bCs/>
        </w:rPr>
        <w:t>les</w:t>
      </w:r>
      <w:proofErr w:type="gramEnd"/>
      <w:r w:rsidRPr="00C42ADB">
        <w:rPr>
          <w:b/>
          <w:bCs/>
        </w:rPr>
        <w:t xml:space="preserve"> destructions</w:t>
      </w:r>
      <w:r w:rsidRPr="00C42ADB">
        <w:rPr>
          <w:b/>
          <w:bCs/>
        </w:rPr>
        <w:t xml:space="preserve"> de la guerre</w:t>
      </w:r>
    </w:p>
    <w:p w14:paraId="3205E005" w14:textId="7B219064" w:rsidR="00C42ADB" w:rsidRPr="00C42ADB" w:rsidRDefault="00C42ADB" w:rsidP="00C42ADB">
      <w:r w:rsidRPr="00C42ADB">
        <w:drawing>
          <wp:inline distT="0" distB="0" distL="0" distR="0" wp14:anchorId="51AD4F01" wp14:editId="22561B0A">
            <wp:extent cx="5760720" cy="2406650"/>
            <wp:effectExtent l="0" t="0" r="0" b="0"/>
            <wp:docPr id="4" name="Image 3">
              <a:extLst xmlns:a="http://schemas.openxmlformats.org/drawingml/2006/main">
                <a:ext uri="{FF2B5EF4-FFF2-40B4-BE49-F238E27FC236}">
                  <a16:creationId xmlns:a16="http://schemas.microsoft.com/office/drawing/2014/main" id="{2B5CD2E6-2950-A3FB-6F3E-6A976F0741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>
                      <a:extLst>
                        <a:ext uri="{FF2B5EF4-FFF2-40B4-BE49-F238E27FC236}">
                          <a16:creationId xmlns:a16="http://schemas.microsoft.com/office/drawing/2014/main" id="{2B5CD2E6-2950-A3FB-6F3E-6A976F0741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0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6F6D5" w14:textId="77777777" w:rsidR="00C42ADB" w:rsidRDefault="00C42ADB" w:rsidP="00C42ADB"/>
    <w:p w14:paraId="7FECBDE7" w14:textId="77777777" w:rsidR="00C42ADB" w:rsidRDefault="00C42ADB" w:rsidP="00C42ADB"/>
    <w:p w14:paraId="77C45CC2" w14:textId="5D28C3CF" w:rsidR="00C42ADB" w:rsidRPr="00C42ADB" w:rsidRDefault="00C42ADB" w:rsidP="00C42ADB">
      <w:r w:rsidRPr="00C42ADB">
        <w:t xml:space="preserve">Indice de </w:t>
      </w:r>
      <w:r w:rsidRPr="00C42ADB">
        <w:rPr>
          <w:b/>
          <w:bCs/>
        </w:rPr>
        <w:t>la production industrielle</w:t>
      </w:r>
      <w:r w:rsidRPr="00C42ADB">
        <w:t xml:space="preserve"> à la veille et au lendemain de la première guerre mondiale</w:t>
      </w:r>
    </w:p>
    <w:p w14:paraId="7B7A5E8E" w14:textId="44798770" w:rsidR="00C42ADB" w:rsidRDefault="00C42ADB" w:rsidP="00C42ADB">
      <w:pPr>
        <w:jc w:val="center"/>
      </w:pPr>
      <w:r w:rsidRPr="00C42ADB">
        <w:drawing>
          <wp:inline distT="0" distB="0" distL="0" distR="0" wp14:anchorId="054DA24B" wp14:editId="7DF835EA">
            <wp:extent cx="4008120" cy="1109832"/>
            <wp:effectExtent l="0" t="0" r="0" b="0"/>
            <wp:docPr id="9" name="Image 8">
              <a:extLst xmlns:a="http://schemas.openxmlformats.org/drawingml/2006/main">
                <a:ext uri="{FF2B5EF4-FFF2-40B4-BE49-F238E27FC236}">
                  <a16:creationId xmlns:a16="http://schemas.microsoft.com/office/drawing/2014/main" id="{6E63E536-626F-3D02-B44B-4DC4D9597A0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>
                      <a:extLst>
                        <a:ext uri="{FF2B5EF4-FFF2-40B4-BE49-F238E27FC236}">
                          <a16:creationId xmlns:a16="http://schemas.microsoft.com/office/drawing/2014/main" id="{6E63E536-626F-3D02-B44B-4DC4D9597A0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51469" cy="112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D3970" w14:textId="77777777" w:rsidR="00C42ADB" w:rsidRPr="00C42ADB" w:rsidRDefault="00C42ADB" w:rsidP="00C42ADB">
      <w:r w:rsidRPr="00C42ADB">
        <w:t xml:space="preserve">Taux de </w:t>
      </w:r>
      <w:r w:rsidRPr="00C42ADB">
        <w:rPr>
          <w:b/>
          <w:bCs/>
        </w:rPr>
        <w:t>croissance annuelle</w:t>
      </w:r>
      <w:r w:rsidRPr="00C42ADB">
        <w:t xml:space="preserve"> des principales économies dans les années 1920 et 1930, en %, </w:t>
      </w:r>
      <w:r w:rsidRPr="00C42ADB">
        <w:rPr>
          <w:i/>
          <w:iCs/>
        </w:rPr>
        <w:t>Alternatives économiques</w:t>
      </w:r>
    </w:p>
    <w:p w14:paraId="56487549" w14:textId="406C5A16" w:rsidR="00C42ADB" w:rsidRDefault="00C42ADB" w:rsidP="00C42ADB">
      <w:pPr>
        <w:jc w:val="center"/>
      </w:pPr>
      <w:r w:rsidRPr="00C42ADB">
        <w:drawing>
          <wp:inline distT="0" distB="0" distL="0" distR="0" wp14:anchorId="17C8C1A8" wp14:editId="2718F0BD">
            <wp:extent cx="2750820" cy="2424452"/>
            <wp:effectExtent l="0" t="0" r="0" b="0"/>
            <wp:docPr id="5" name="Image 4">
              <a:extLst xmlns:a="http://schemas.openxmlformats.org/drawingml/2006/main">
                <a:ext uri="{FF2B5EF4-FFF2-40B4-BE49-F238E27FC236}">
                  <a16:creationId xmlns:a16="http://schemas.microsoft.com/office/drawing/2014/main" id="{328F7F6B-C205-1C97-E81B-B6126E3CA9E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>
                      <a:extLst>
                        <a:ext uri="{FF2B5EF4-FFF2-40B4-BE49-F238E27FC236}">
                          <a16:creationId xmlns:a16="http://schemas.microsoft.com/office/drawing/2014/main" id="{328F7F6B-C205-1C97-E81B-B6126E3CA9E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5976" cy="2428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21774" w14:textId="7DB986D9" w:rsidR="00C42ADB" w:rsidRDefault="00C42ADB" w:rsidP="00C42ADB">
      <w:pPr>
        <w:jc w:val="center"/>
      </w:pPr>
      <w:r w:rsidRPr="00C42ADB">
        <w:lastRenderedPageBreak/>
        <w:drawing>
          <wp:inline distT="0" distB="0" distL="0" distR="0" wp14:anchorId="5177410C" wp14:editId="1600F2F6">
            <wp:extent cx="4061460" cy="2855378"/>
            <wp:effectExtent l="0" t="0" r="0" b="2540"/>
            <wp:docPr id="2092559048" name="Espace réservé du contenu 4">
              <a:extLst xmlns:a="http://schemas.openxmlformats.org/drawingml/2006/main">
                <a:ext uri="{FF2B5EF4-FFF2-40B4-BE49-F238E27FC236}">
                  <a16:creationId xmlns:a16="http://schemas.microsoft.com/office/drawing/2014/main" id="{2DA58CAC-4844-3DCC-CEC4-AA6AC8191BA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space réservé du contenu 4">
                      <a:extLst>
                        <a:ext uri="{FF2B5EF4-FFF2-40B4-BE49-F238E27FC236}">
                          <a16:creationId xmlns:a16="http://schemas.microsoft.com/office/drawing/2014/main" id="{2DA58CAC-4844-3DCC-CEC4-AA6AC8191BA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77587" cy="2866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21B35" w14:textId="77777777" w:rsidR="00C42ADB" w:rsidRDefault="00C42ADB" w:rsidP="00C42ADB">
      <w:pPr>
        <w:rPr>
          <w:rFonts w:hAnsi="Calibri"/>
          <w:color w:val="000000" w:themeColor="text1"/>
          <w:kern w:val="24"/>
          <w:sz w:val="24"/>
          <w:szCs w:val="24"/>
          <w14:ligatures w14:val="none"/>
        </w:rPr>
      </w:pPr>
      <w:hyperlink r:id="rId8" w:history="1">
        <w:r>
          <w:rPr>
            <w:rStyle w:val="Lienhypertexte"/>
            <w:rFonts w:hAnsi="Calibri"/>
            <w:color w:val="000000" w:themeColor="text1"/>
            <w:kern w:val="24"/>
          </w:rPr>
          <w:t>https://la-chronique-agora.com/systeme-est-a-bout-souffle/</w:t>
        </w:r>
      </w:hyperlink>
      <w:r>
        <w:rPr>
          <w:rFonts w:hAnsi="Calibri"/>
          <w:color w:val="000000" w:themeColor="text1"/>
          <w:kern w:val="24"/>
        </w:rPr>
        <w:t xml:space="preserve">  </w:t>
      </w:r>
    </w:p>
    <w:p w14:paraId="1B8B0DEE" w14:textId="77777777" w:rsidR="00C42ADB" w:rsidRDefault="00C42ADB" w:rsidP="00C42ADB"/>
    <w:p w14:paraId="1A6EDF2B" w14:textId="72F34AB7" w:rsidR="00C42ADB" w:rsidRDefault="00C42ADB" w:rsidP="00C42ADB">
      <w:r w:rsidRPr="00C42ADB">
        <w:rPr>
          <w:b/>
          <w:bCs/>
        </w:rPr>
        <w:t xml:space="preserve">Chômage </w:t>
      </w:r>
      <w:r w:rsidRPr="00C42ADB">
        <w:t xml:space="preserve">en France </w:t>
      </w:r>
      <w:hyperlink r:id="rId9" w:history="1">
        <w:r w:rsidRPr="00C42ADB">
          <w:rPr>
            <w:rStyle w:val="Lienhypertexte"/>
          </w:rPr>
          <w:t> </w:t>
        </w:r>
      </w:hyperlink>
      <w:r>
        <w:t xml:space="preserve">: </w:t>
      </w:r>
      <w:hyperlink r:id="rId10" w:history="1">
        <w:r w:rsidRPr="00C42ADB">
          <w:rPr>
            <w:rStyle w:val="Lienhypertexte"/>
          </w:rPr>
          <w:t>Pierre Villa</w:t>
        </w:r>
      </w:hyperlink>
      <w:r w:rsidRPr="00C42ADB">
        <w:t xml:space="preserve">  </w:t>
      </w:r>
      <w:hyperlink r:id="rId11" w:history="1">
        <w:r w:rsidRPr="00C42ADB">
          <w:rPr>
            <w:rStyle w:val="Lienhypertexte"/>
          </w:rPr>
          <w:t>Economie et Statistique</w:t>
        </w:r>
      </w:hyperlink>
      <w:r w:rsidRPr="00C42ADB">
        <w:t xml:space="preserve"> Année 1995</w:t>
      </w:r>
    </w:p>
    <w:p w14:paraId="0D7CC1A3" w14:textId="0CBB02C0" w:rsidR="00C42ADB" w:rsidRDefault="00C42ADB" w:rsidP="00C42ADB">
      <w:pPr>
        <w:jc w:val="center"/>
      </w:pPr>
      <w:r w:rsidRPr="00C42ADB">
        <w:drawing>
          <wp:inline distT="0" distB="0" distL="0" distR="0" wp14:anchorId="7D652BC4" wp14:editId="46678715">
            <wp:extent cx="4792980" cy="2388565"/>
            <wp:effectExtent l="0" t="0" r="7620" b="0"/>
            <wp:docPr id="1163615055" name="Espace réservé du contenu 4">
              <a:extLst xmlns:a="http://schemas.openxmlformats.org/drawingml/2006/main">
                <a:ext uri="{FF2B5EF4-FFF2-40B4-BE49-F238E27FC236}">
                  <a16:creationId xmlns:a16="http://schemas.microsoft.com/office/drawing/2014/main" id="{9E769729-B3F1-9E31-A57D-ECA4AFCEDA8D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space réservé du contenu 4">
                      <a:extLst>
                        <a:ext uri="{FF2B5EF4-FFF2-40B4-BE49-F238E27FC236}">
                          <a16:creationId xmlns:a16="http://schemas.microsoft.com/office/drawing/2014/main" id="{9E769729-B3F1-9E31-A57D-ECA4AFCEDA8D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6844" cy="2395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619E3" w14:textId="77777777" w:rsidR="00C42ADB" w:rsidRDefault="00C42ADB" w:rsidP="00C42ADB">
      <w:proofErr w:type="gramStart"/>
      <w:r w:rsidRPr="00C42ADB">
        <w:rPr>
          <w:b/>
          <w:bCs/>
        </w:rPr>
        <w:t>l'inflation</w:t>
      </w:r>
      <w:proofErr w:type="gramEnd"/>
      <w:r w:rsidRPr="00C42ADB">
        <w:t xml:space="preserve"> en France </w:t>
      </w:r>
    </w:p>
    <w:p w14:paraId="71BF4761" w14:textId="42905C2C" w:rsidR="00C42ADB" w:rsidRPr="00C42ADB" w:rsidRDefault="00C42ADB" w:rsidP="00C42ADB">
      <w:r w:rsidRPr="00C42ADB">
        <w:drawing>
          <wp:inline distT="0" distB="0" distL="0" distR="0" wp14:anchorId="372CDA74" wp14:editId="033C828F">
            <wp:extent cx="5760720" cy="1950720"/>
            <wp:effectExtent l="0" t="0" r="0" b="0"/>
            <wp:docPr id="1520739543" name="Espace réservé du contenu 4">
              <a:extLst xmlns:a="http://schemas.openxmlformats.org/drawingml/2006/main">
                <a:ext uri="{FF2B5EF4-FFF2-40B4-BE49-F238E27FC236}">
                  <a16:creationId xmlns:a16="http://schemas.microsoft.com/office/drawing/2014/main" id="{3984E0AA-C1E3-C920-6873-4B55F63E88F7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space réservé du contenu 4">
                      <a:extLst>
                        <a:ext uri="{FF2B5EF4-FFF2-40B4-BE49-F238E27FC236}">
                          <a16:creationId xmlns:a16="http://schemas.microsoft.com/office/drawing/2014/main" id="{3984E0AA-C1E3-C920-6873-4B55F63E88F7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16CBA" w14:textId="77777777" w:rsidR="00C42ADB" w:rsidRPr="00C42ADB" w:rsidRDefault="00C42ADB" w:rsidP="00C42ADB"/>
    <w:p w14:paraId="13019E63" w14:textId="25FA9F7D" w:rsidR="00C42ADB" w:rsidRDefault="00C42ADB" w:rsidP="00C42ADB"/>
    <w:p w14:paraId="3B77FE54" w14:textId="77777777" w:rsidR="00C42ADB" w:rsidRDefault="00C42ADB" w:rsidP="00C42ADB"/>
    <w:p w14:paraId="1F7903AF" w14:textId="77777777" w:rsidR="00C42ADB" w:rsidRDefault="00C42ADB"/>
    <w:sectPr w:rsidR="00C42A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577"/>
    <w:rsid w:val="0065728C"/>
    <w:rsid w:val="00917577"/>
    <w:rsid w:val="00C42ADB"/>
    <w:rsid w:val="00E94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2C997"/>
  <w15:chartTrackingRefBased/>
  <w15:docId w15:val="{D643845A-05A7-455D-9F7A-3AE64548C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42ADB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C42ADB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42A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14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-chronique-agora.com/systeme-est-a-bout-souffle/" TargetMode="External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hyperlink" Target="https://www.persee.fr/collection/estat" TargetMode="External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hyperlink" Target="https://www.persee.fr/authority/2305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persee.fr/authority/2305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108</Words>
  <Characters>595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2</cp:revision>
  <dcterms:created xsi:type="dcterms:W3CDTF">2024-10-13T06:50:00Z</dcterms:created>
  <dcterms:modified xsi:type="dcterms:W3CDTF">2024-10-13T07:02:00Z</dcterms:modified>
</cp:coreProperties>
</file>