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6EFB" w:rsidRPr="0028226A" w:rsidRDefault="00B863D0" w:rsidP="0028226A">
      <w:pPr>
        <w:spacing w:after="0" w:line="240" w:lineRule="auto"/>
        <w:rPr>
          <w:b/>
          <w:sz w:val="24"/>
          <w:szCs w:val="24"/>
        </w:rPr>
      </w:pPr>
      <w:r w:rsidRPr="0028226A">
        <w:rPr>
          <w:b/>
          <w:sz w:val="24"/>
          <w:szCs w:val="24"/>
        </w:rPr>
        <w:t>Ecriture inclusive kezako?</w:t>
      </w:r>
    </w:p>
    <w:p w:rsidR="00B863D0" w:rsidRPr="0028226A" w:rsidRDefault="00B863D0" w:rsidP="0028226A">
      <w:pPr>
        <w:spacing w:after="0" w:line="240" w:lineRule="auto"/>
        <w:jc w:val="right"/>
        <w:rPr>
          <w:sz w:val="24"/>
          <w:szCs w:val="24"/>
        </w:rPr>
      </w:pPr>
      <w:r w:rsidRPr="0028226A">
        <w:rPr>
          <w:sz w:val="24"/>
          <w:szCs w:val="24"/>
        </w:rPr>
        <w:t>Lise Hamelin, Maître de Conférences en Linguistique Anglaise, Cergy-Paris Université</w:t>
      </w:r>
    </w:p>
    <w:p w:rsidR="008C2274" w:rsidRDefault="008C2274" w:rsidP="0028226A">
      <w:pPr>
        <w:spacing w:after="0" w:line="240" w:lineRule="auto"/>
        <w:rPr>
          <w:sz w:val="24"/>
          <w:szCs w:val="24"/>
        </w:rPr>
      </w:pPr>
    </w:p>
    <w:p w:rsidR="0028226A" w:rsidRPr="0028226A" w:rsidRDefault="0028226A" w:rsidP="0028226A">
      <w:pPr>
        <w:spacing w:after="0" w:line="240" w:lineRule="auto"/>
        <w:rPr>
          <w:sz w:val="24"/>
          <w:szCs w:val="24"/>
        </w:rPr>
      </w:pPr>
      <w:bookmarkStart w:id="0" w:name="_GoBack"/>
      <w:bookmarkEnd w:id="0"/>
    </w:p>
    <w:p w:rsidR="008C2274" w:rsidRPr="008C2274" w:rsidRDefault="008C2274" w:rsidP="0028226A">
      <w:pPr>
        <w:spacing w:after="0" w:line="240" w:lineRule="auto"/>
      </w:pPr>
      <w:r w:rsidRPr="008C2274">
        <w:t xml:space="preserve">Les professeurs des écoles contactés sont sûrs d'eux: il s'agirait d'une première. Le manuel Magellan et Galilée </w:t>
      </w:r>
      <w:r w:rsidRPr="008C2274">
        <w:rPr>
          <w:i/>
          <w:iCs/>
        </w:rPr>
        <w:t>Questionner le monde</w:t>
      </w:r>
      <w:r w:rsidRPr="008C2274">
        <w:t xml:space="preserve">, destiné aux élèves de CE2 et publié en mars 2017 par Hatier, promeut «l'écriture inclusive», défendue par certaines féministes. Ceci consiste à inclure le féminin, entrecoupé de points, dans tous les noms, comme dans </w:t>
      </w:r>
      <w:proofErr w:type="gramStart"/>
      <w:r w:rsidRPr="008C2274">
        <w:t xml:space="preserve">«mes </w:t>
      </w:r>
      <w:proofErr w:type="spellStart"/>
      <w:r w:rsidRPr="008C2274">
        <w:t>ami</w:t>
      </w:r>
      <w:proofErr w:type="gramEnd"/>
      <w:r w:rsidRPr="008C2274">
        <w:t>.e.s</w:t>
      </w:r>
      <w:proofErr w:type="spellEnd"/>
      <w:r w:rsidRPr="008C2274">
        <w:t xml:space="preserve">». Dans la partie de ce manuel consacrée à l'histoire, on peut donc lire: «Les </w:t>
      </w:r>
      <w:proofErr w:type="spellStart"/>
      <w:r w:rsidRPr="008C2274">
        <w:t>agriculteur.rice.s</w:t>
      </w:r>
      <w:proofErr w:type="spellEnd"/>
      <w:r w:rsidRPr="008C2274">
        <w:t xml:space="preserve"> au fil du temps», «Les </w:t>
      </w:r>
      <w:proofErr w:type="spellStart"/>
      <w:r w:rsidRPr="008C2274">
        <w:t>artisan.e.s</w:t>
      </w:r>
      <w:proofErr w:type="spellEnd"/>
      <w:r w:rsidRPr="008C2274">
        <w:t xml:space="preserve"> au fil du temps» ou encore «Les </w:t>
      </w:r>
      <w:proofErr w:type="spellStart"/>
      <w:r w:rsidRPr="008C2274">
        <w:t>savant.e.s</w:t>
      </w:r>
      <w:proofErr w:type="spellEnd"/>
      <w:r w:rsidRPr="008C2274">
        <w:t xml:space="preserve">» et «Les </w:t>
      </w:r>
      <w:proofErr w:type="spellStart"/>
      <w:r w:rsidRPr="008C2274">
        <w:t>puissant.e.s</w:t>
      </w:r>
      <w:proofErr w:type="spellEnd"/>
      <w:r w:rsidRPr="008C2274">
        <w:t xml:space="preserve">». On y apprend que «grâce </w:t>
      </w:r>
      <w:proofErr w:type="gramStart"/>
      <w:r w:rsidRPr="008C2274">
        <w:t xml:space="preserve">aux </w:t>
      </w:r>
      <w:proofErr w:type="spellStart"/>
      <w:r w:rsidRPr="008C2274">
        <w:t>agriculteur</w:t>
      </w:r>
      <w:proofErr w:type="gramEnd"/>
      <w:r w:rsidRPr="008C2274">
        <w:t>.rice.s</w:t>
      </w:r>
      <w:proofErr w:type="spellEnd"/>
      <w:r w:rsidRPr="008C2274">
        <w:t xml:space="preserve">, aux </w:t>
      </w:r>
      <w:proofErr w:type="spellStart"/>
      <w:r w:rsidRPr="008C2274">
        <w:t>artisan.e.s</w:t>
      </w:r>
      <w:proofErr w:type="spellEnd"/>
      <w:r w:rsidRPr="008C2274">
        <w:t xml:space="preserve"> et aux </w:t>
      </w:r>
      <w:proofErr w:type="spellStart"/>
      <w:r w:rsidRPr="008C2274">
        <w:t>commerçant.e.s</w:t>
      </w:r>
      <w:proofErr w:type="spellEnd"/>
      <w:r w:rsidRPr="008C2274">
        <w:t>, la Gaule était un pays riche». Il s'agit de cesser «d'invisibiliser les femmes», défendent les promoteurs de cette écriture. À leurs yeux, «le masculin l'emporte sur le féminin», et cette règle de grammaire instituée au XVIIe siècle, abusive selon eux, n'aurait plus lieu d'être.</w:t>
      </w:r>
    </w:p>
    <w:p w:rsidR="008C2274" w:rsidRPr="008C2274" w:rsidRDefault="008C2274" w:rsidP="0028226A">
      <w:pPr>
        <w:spacing w:after="0" w:line="240" w:lineRule="auto"/>
      </w:pPr>
      <w:r w:rsidRPr="008C2274">
        <w:rPr>
          <w:i/>
          <w:iCs/>
        </w:rPr>
        <w:t>Le Figaro</w:t>
      </w:r>
      <w:r w:rsidRPr="008C2274">
        <w:t>, 22 septembre 2017, consulté en ligne le 19/09/2025 https://www.lefigaro.fr/actualite-france/2017/09/22/01016-20170922ARTFIG00300-un-manuel-scolaire-ecrit-a-la-sauce-feministe.php)</w:t>
      </w:r>
    </w:p>
    <w:p w:rsidR="008C2274" w:rsidRDefault="008C2274" w:rsidP="0028226A">
      <w:pPr>
        <w:spacing w:after="0" w:line="240" w:lineRule="auto"/>
      </w:pPr>
    </w:p>
    <w:p w:rsidR="0028226A" w:rsidRDefault="0028226A" w:rsidP="0028226A">
      <w:pPr>
        <w:spacing w:after="0" w:line="240" w:lineRule="auto"/>
      </w:pPr>
    </w:p>
    <w:p w:rsidR="00000000" w:rsidRPr="00C7707D" w:rsidRDefault="00C7707D" w:rsidP="0028226A">
      <w:pPr>
        <w:spacing w:after="0" w:line="240" w:lineRule="auto"/>
      </w:pPr>
      <w:r>
        <w:t>GENRE</w:t>
      </w:r>
      <w:r w:rsidR="0028226A">
        <w:t xml:space="preserve"> : </w:t>
      </w:r>
      <w:r w:rsidR="0028226A" w:rsidRPr="00C7707D">
        <w:t xml:space="preserve">Catégorie </w:t>
      </w:r>
      <w:r w:rsidR="0028226A" w:rsidRPr="00C7707D">
        <w:rPr>
          <w:b/>
          <w:bCs/>
        </w:rPr>
        <w:t>grammaticale</w:t>
      </w:r>
      <w:r w:rsidR="0028226A" w:rsidRPr="00C7707D">
        <w:t>, définie par des propriétés formelles procédant par répartition des nominaux dans des classes morphologiques (</w:t>
      </w:r>
      <w:r w:rsidR="0028226A" w:rsidRPr="00C7707D">
        <w:t xml:space="preserve">masculin, féminin, neutre pour les langues indo-européennes), qui se manifeste dans la </w:t>
      </w:r>
      <w:r w:rsidR="0028226A" w:rsidRPr="00C7707D">
        <w:rPr>
          <w:b/>
          <w:bCs/>
        </w:rPr>
        <w:t>détermination nominale</w:t>
      </w:r>
      <w:r w:rsidR="0028226A" w:rsidRPr="00C7707D">
        <w:t xml:space="preserve">, dans la </w:t>
      </w:r>
      <w:r w:rsidR="0028226A" w:rsidRPr="00C7707D">
        <w:rPr>
          <w:b/>
          <w:bCs/>
        </w:rPr>
        <w:t>morphologie pronominale</w:t>
      </w:r>
      <w:r w:rsidR="0028226A" w:rsidRPr="00C7707D">
        <w:t xml:space="preserve">, dans </w:t>
      </w:r>
      <w:r w:rsidR="0028226A" w:rsidRPr="00C7707D">
        <w:rPr>
          <w:b/>
          <w:bCs/>
        </w:rPr>
        <w:t xml:space="preserve">l’accord de l’adjectif </w:t>
      </w:r>
      <w:r w:rsidR="0028226A" w:rsidRPr="00C7707D">
        <w:t xml:space="preserve">et du </w:t>
      </w:r>
      <w:r w:rsidR="0028226A" w:rsidRPr="00C7707D">
        <w:rPr>
          <w:b/>
          <w:bCs/>
        </w:rPr>
        <w:t>participe</w:t>
      </w:r>
      <w:r w:rsidR="0028226A" w:rsidRPr="00C7707D">
        <w:t xml:space="preserve">, ainsi que dans les </w:t>
      </w:r>
      <w:r w:rsidR="0028226A" w:rsidRPr="00C7707D">
        <w:rPr>
          <w:b/>
          <w:bCs/>
        </w:rPr>
        <w:t>affixes dérivationnels</w:t>
      </w:r>
      <w:r w:rsidR="0028226A" w:rsidRPr="00C7707D">
        <w:t>.</w:t>
      </w:r>
    </w:p>
    <w:p w:rsidR="00000000" w:rsidRPr="00C7707D" w:rsidRDefault="0028226A" w:rsidP="0028226A">
      <w:pPr>
        <w:spacing w:after="0" w:line="240" w:lineRule="auto"/>
      </w:pPr>
      <w:r w:rsidRPr="00C7707D">
        <w:t xml:space="preserve">Au plan </w:t>
      </w:r>
      <w:r w:rsidRPr="00C7707D">
        <w:rPr>
          <w:b/>
          <w:bCs/>
        </w:rPr>
        <w:t>sémantique</w:t>
      </w:r>
      <w:r w:rsidRPr="00C7707D">
        <w:t xml:space="preserve">, la catégorie du </w:t>
      </w:r>
      <w:r w:rsidRPr="00C7707D">
        <w:rPr>
          <w:b/>
          <w:bCs/>
        </w:rPr>
        <w:t>genre</w:t>
      </w:r>
      <w:r w:rsidRPr="00C7707D">
        <w:t xml:space="preserve"> entretient avec la catégorie du </w:t>
      </w:r>
      <w:r w:rsidRPr="00C7707D">
        <w:rPr>
          <w:b/>
          <w:bCs/>
        </w:rPr>
        <w:t>sexe</w:t>
      </w:r>
      <w:r w:rsidRPr="00C7707D">
        <w:t xml:space="preserve"> (ou genre naturel), des relations d’</w:t>
      </w:r>
      <w:r w:rsidRPr="00C7707D">
        <w:rPr>
          <w:b/>
          <w:bCs/>
        </w:rPr>
        <w:t xml:space="preserve">homologie complexes </w:t>
      </w:r>
      <w:r w:rsidRPr="00C7707D">
        <w:t>[…]</w:t>
      </w:r>
    </w:p>
    <w:p w:rsidR="00000000" w:rsidRPr="00C7707D" w:rsidRDefault="0028226A" w:rsidP="0028226A">
      <w:pPr>
        <w:spacing w:after="0" w:line="240" w:lineRule="auto"/>
      </w:pPr>
      <w:r w:rsidRPr="00C7707D">
        <w:t xml:space="preserve">Il y a donc lieu de </w:t>
      </w:r>
      <w:r w:rsidRPr="00C7707D">
        <w:rPr>
          <w:b/>
          <w:bCs/>
        </w:rPr>
        <w:t>distinguer</w:t>
      </w:r>
      <w:r w:rsidRPr="00C7707D">
        <w:t xml:space="preserve"> entre un genre de nature linguistique, qui s’exprime au niveau formel de la langue, et un genre de nature cognitive, résultant d’une catégorie référentielle, </w:t>
      </w:r>
      <w:r w:rsidRPr="00C7707D">
        <w:rPr>
          <w:b/>
          <w:bCs/>
        </w:rPr>
        <w:t>même si les propriétés du langage verbal trouvent nécessairement leurs sources dans les représentations</w:t>
      </w:r>
      <w:r w:rsidRPr="00C7707D">
        <w:t>.</w:t>
      </w:r>
    </w:p>
    <w:p w:rsidR="00C7707D" w:rsidRPr="00C7707D" w:rsidRDefault="00C7707D" w:rsidP="0028226A">
      <w:pPr>
        <w:spacing w:after="0" w:line="240" w:lineRule="auto"/>
      </w:pPr>
      <w:r w:rsidRPr="00C7707D">
        <w:t xml:space="preserve">Neveu, 2004, </w:t>
      </w:r>
      <w:r w:rsidRPr="00C7707D">
        <w:rPr>
          <w:i/>
          <w:iCs/>
        </w:rPr>
        <w:t>Dictionnaire des Sciences du Langage</w:t>
      </w:r>
      <w:r w:rsidRPr="00C7707D">
        <w:t>, Armand Colin</w:t>
      </w:r>
    </w:p>
    <w:p w:rsidR="00C7707D" w:rsidRDefault="00C7707D" w:rsidP="0028226A">
      <w:pPr>
        <w:spacing w:after="0" w:line="240" w:lineRule="auto"/>
      </w:pPr>
    </w:p>
    <w:p w:rsidR="0028226A" w:rsidRDefault="0028226A" w:rsidP="0028226A">
      <w:pPr>
        <w:spacing w:after="0" w:line="240" w:lineRule="auto"/>
      </w:pPr>
    </w:p>
    <w:p w:rsidR="00C7707D" w:rsidRPr="00C7707D" w:rsidRDefault="00C7707D" w:rsidP="0028226A">
      <w:pPr>
        <w:spacing w:after="0" w:line="240" w:lineRule="auto"/>
      </w:pPr>
      <w:r w:rsidRPr="00C7707D">
        <w:t xml:space="preserve">« Le genre masculin est le plus noble, il doit prédominer toutes les fois que le masculin et le féminin se trouvent ensemble, encore que selon la construction ordinaire il </w:t>
      </w:r>
      <w:proofErr w:type="spellStart"/>
      <w:r w:rsidRPr="00C7707D">
        <w:t>devroit</w:t>
      </w:r>
      <w:proofErr w:type="spellEnd"/>
      <w:r w:rsidRPr="00C7707D">
        <w:t xml:space="preserve"> se mettre </w:t>
      </w:r>
      <w:proofErr w:type="spellStart"/>
      <w:r w:rsidRPr="00C7707D">
        <w:t>aprés</w:t>
      </w:r>
      <w:proofErr w:type="spellEnd"/>
      <w:r w:rsidRPr="00C7707D">
        <w:t xml:space="preserve">. Ainsi on dit, </w:t>
      </w:r>
      <w:r w:rsidRPr="00C7707D">
        <w:rPr>
          <w:i/>
          <w:iCs/>
        </w:rPr>
        <w:t>le père et la mère sont contents</w:t>
      </w:r>
      <w:r w:rsidRPr="00C7707D">
        <w:t xml:space="preserve">, et non pas </w:t>
      </w:r>
      <w:r w:rsidRPr="00C7707D">
        <w:rPr>
          <w:i/>
          <w:iCs/>
        </w:rPr>
        <w:t>contentes</w:t>
      </w:r>
      <w:r w:rsidRPr="00C7707D">
        <w:t>.</w:t>
      </w:r>
    </w:p>
    <w:p w:rsidR="00C7707D" w:rsidRPr="00C7707D" w:rsidRDefault="00C7707D" w:rsidP="0028226A">
      <w:pPr>
        <w:spacing w:after="0" w:line="240" w:lineRule="auto"/>
      </w:pPr>
      <w:r w:rsidRPr="00C7707D">
        <w:t xml:space="preserve">Mais il est </w:t>
      </w:r>
      <w:proofErr w:type="spellStart"/>
      <w:r w:rsidRPr="00C7707D">
        <w:t>vray</w:t>
      </w:r>
      <w:proofErr w:type="spellEnd"/>
      <w:r w:rsidRPr="00C7707D">
        <w:t xml:space="preserve"> aussi que l’usage et la douce façon de parler veulent souvent qu’on suive l’autre </w:t>
      </w:r>
      <w:proofErr w:type="spellStart"/>
      <w:r w:rsidRPr="00C7707D">
        <w:t>regle</w:t>
      </w:r>
      <w:proofErr w:type="spellEnd"/>
      <w:r w:rsidRPr="00C7707D">
        <w:t xml:space="preserve">, qui est que le genre le plus proche emporte. Ainsi on dit, </w:t>
      </w:r>
      <w:r w:rsidRPr="00C7707D">
        <w:rPr>
          <w:i/>
          <w:iCs/>
        </w:rPr>
        <w:t>la bouche et le cœur ouverts</w:t>
      </w:r>
      <w:r w:rsidRPr="00C7707D">
        <w:t xml:space="preserve">, et non pas </w:t>
      </w:r>
      <w:r w:rsidRPr="00C7707D">
        <w:rPr>
          <w:i/>
          <w:iCs/>
        </w:rPr>
        <w:t>ouverte</w:t>
      </w:r>
      <w:r w:rsidRPr="00C7707D">
        <w:t>. »</w:t>
      </w:r>
    </w:p>
    <w:p w:rsidR="00C7707D" w:rsidRPr="00C7707D" w:rsidRDefault="00C7707D" w:rsidP="0028226A">
      <w:pPr>
        <w:spacing w:after="0" w:line="240" w:lineRule="auto"/>
      </w:pPr>
      <w:r w:rsidRPr="00C7707D">
        <w:t xml:space="preserve">« Amour. Ce substantif est </w:t>
      </w:r>
      <w:proofErr w:type="spellStart"/>
      <w:r w:rsidRPr="00C7707D">
        <w:t>tantost</w:t>
      </w:r>
      <w:proofErr w:type="spellEnd"/>
      <w:r w:rsidRPr="00C7707D">
        <w:t xml:space="preserve"> masculin, </w:t>
      </w:r>
      <w:proofErr w:type="spellStart"/>
      <w:r w:rsidRPr="00C7707D">
        <w:t>tantost</w:t>
      </w:r>
      <w:proofErr w:type="spellEnd"/>
      <w:r w:rsidRPr="00C7707D">
        <w:t xml:space="preserve"> féminin. Masculin quand il signifie la passion qu’on a pour Dieu, ou bien quand on parle de l’Amour des </w:t>
      </w:r>
      <w:proofErr w:type="spellStart"/>
      <w:r w:rsidRPr="00C7707D">
        <w:t>Poëtes</w:t>
      </w:r>
      <w:proofErr w:type="spellEnd"/>
      <w:r w:rsidRPr="00C7707D">
        <w:t xml:space="preserve">, que nous </w:t>
      </w:r>
      <w:proofErr w:type="spellStart"/>
      <w:r w:rsidRPr="00C7707D">
        <w:t>appellons</w:t>
      </w:r>
      <w:proofErr w:type="spellEnd"/>
      <w:r w:rsidRPr="00C7707D">
        <w:t xml:space="preserve"> Cupidon. En tous les autres sens il est indifféremment masculin et féminin, et le féminin me semble plus doux, et a je ne </w:t>
      </w:r>
      <w:proofErr w:type="spellStart"/>
      <w:r w:rsidRPr="00C7707D">
        <w:t>sçay</w:t>
      </w:r>
      <w:proofErr w:type="spellEnd"/>
      <w:r w:rsidRPr="00C7707D">
        <w:t xml:space="preserve"> </w:t>
      </w:r>
      <w:proofErr w:type="spellStart"/>
      <w:r w:rsidRPr="00C7707D">
        <w:t>quoy</w:t>
      </w:r>
      <w:proofErr w:type="spellEnd"/>
      <w:r w:rsidRPr="00C7707D">
        <w:t xml:space="preserve"> de plus </w:t>
      </w:r>
      <w:proofErr w:type="spellStart"/>
      <w:r w:rsidRPr="00C7707D">
        <w:t>agreable</w:t>
      </w:r>
      <w:proofErr w:type="spellEnd"/>
      <w:r w:rsidRPr="00C7707D">
        <w:t xml:space="preserve"> à l’oreille. »</w:t>
      </w:r>
    </w:p>
    <w:p w:rsidR="00C7707D" w:rsidRPr="00C7707D" w:rsidRDefault="00C7707D" w:rsidP="0028226A">
      <w:pPr>
        <w:spacing w:after="0" w:line="240" w:lineRule="auto"/>
      </w:pPr>
      <w:r w:rsidRPr="00C7707D">
        <w:t>Abbé de Vaugelas</w:t>
      </w:r>
      <w:r w:rsidRPr="00C7707D">
        <w:rPr>
          <w:i/>
          <w:iCs/>
        </w:rPr>
        <w:t xml:space="preserve">, Remarques sur la langue </w:t>
      </w:r>
      <w:proofErr w:type="spellStart"/>
      <w:r w:rsidRPr="00C7707D">
        <w:rPr>
          <w:i/>
          <w:iCs/>
        </w:rPr>
        <w:t>françoise</w:t>
      </w:r>
      <w:proofErr w:type="spellEnd"/>
      <w:r w:rsidRPr="00C7707D">
        <w:t>, 1647</w:t>
      </w:r>
    </w:p>
    <w:p w:rsidR="00C7707D" w:rsidRDefault="00C7707D" w:rsidP="0028226A">
      <w:pPr>
        <w:spacing w:after="0" w:line="240" w:lineRule="auto"/>
      </w:pPr>
    </w:p>
    <w:p w:rsidR="0028226A" w:rsidRDefault="0028226A" w:rsidP="0028226A">
      <w:pPr>
        <w:spacing w:after="0" w:line="240" w:lineRule="auto"/>
      </w:pPr>
    </w:p>
    <w:p w:rsidR="0028226A" w:rsidRDefault="0028226A" w:rsidP="0028226A">
      <w:pPr>
        <w:spacing w:after="0" w:line="240" w:lineRule="auto"/>
      </w:pPr>
    </w:p>
    <w:p w:rsidR="00C7707D" w:rsidRPr="00C7707D" w:rsidRDefault="00C7707D" w:rsidP="0028226A">
      <w:pPr>
        <w:spacing w:after="0" w:line="240" w:lineRule="auto"/>
      </w:pPr>
      <w:r w:rsidRPr="00C7707D">
        <w:rPr>
          <w:b/>
          <w:bCs/>
        </w:rPr>
        <w:t>Lettre ouverte sur l'écriture inclusive</w:t>
      </w:r>
      <w:r w:rsidRPr="00C7707D">
        <w:rPr>
          <w:b/>
          <w:bCs/>
        </w:rPr>
        <w:tab/>
      </w:r>
      <w:r w:rsidRPr="00C7707D">
        <w:rPr>
          <w:b/>
          <w:bCs/>
        </w:rPr>
        <w:tab/>
      </w:r>
      <w:r w:rsidRPr="00C7707D">
        <w:rPr>
          <w:b/>
          <w:bCs/>
        </w:rPr>
        <w:tab/>
      </w:r>
      <w:r w:rsidR="0028226A">
        <w:rPr>
          <w:b/>
          <w:bCs/>
        </w:rPr>
        <w:tab/>
      </w:r>
      <w:r w:rsidRPr="00C7707D">
        <w:rPr>
          <w:b/>
          <w:bCs/>
        </w:rPr>
        <w:tab/>
      </w:r>
      <w:r w:rsidRPr="00C7707D">
        <w:rPr>
          <w:b/>
          <w:bCs/>
        </w:rPr>
        <w:tab/>
      </w:r>
      <w:r w:rsidRPr="00C7707D">
        <w:rPr>
          <w:b/>
          <w:bCs/>
        </w:rPr>
        <w:tab/>
        <w:t>7 mai 2021</w:t>
      </w:r>
    </w:p>
    <w:p w:rsidR="00C7707D" w:rsidRPr="00C7707D" w:rsidRDefault="00C7707D" w:rsidP="0028226A">
      <w:pPr>
        <w:spacing w:after="0" w:line="240" w:lineRule="auto"/>
      </w:pPr>
      <w:r w:rsidRPr="00C7707D">
        <w:t xml:space="preserve">Au moment où </w:t>
      </w:r>
      <w:r w:rsidRPr="00C7707D">
        <w:rPr>
          <w:b/>
          <w:bCs/>
        </w:rPr>
        <w:t xml:space="preserve">la lutte contre les discriminations sexistes </w:t>
      </w:r>
      <w:r w:rsidRPr="00C7707D">
        <w:t xml:space="preserve">implique des combats portant notamment sur les violences conjugales, les disparités salariales et les phénomènes de harcèlement, l’écriture inclusive, si elle semble participer de ce mouvement, est non seulement </w:t>
      </w:r>
      <w:r w:rsidRPr="00C7707D">
        <w:rPr>
          <w:b/>
          <w:bCs/>
        </w:rPr>
        <w:t xml:space="preserve">contre-productive </w:t>
      </w:r>
      <w:r w:rsidRPr="00C7707D">
        <w:t>pour cette cause même, mais nuisible à la pratique et à l’intelligibilité de la langue française.</w:t>
      </w:r>
    </w:p>
    <w:p w:rsidR="00C7707D" w:rsidRPr="00C7707D" w:rsidRDefault="00C7707D" w:rsidP="0028226A">
      <w:pPr>
        <w:spacing w:after="0" w:line="240" w:lineRule="auto"/>
      </w:pPr>
      <w:r w:rsidRPr="00C7707D">
        <w:lastRenderedPageBreak/>
        <w:t xml:space="preserve">Une langue procède d’une combinaison séculaire de l’histoire et de la pratique, ce que </w:t>
      </w:r>
      <w:r w:rsidRPr="00C7707D">
        <w:rPr>
          <w:b/>
          <w:bCs/>
        </w:rPr>
        <w:t xml:space="preserve">Lévi-Strauss </w:t>
      </w:r>
      <w:r w:rsidRPr="00C7707D">
        <w:t>et</w:t>
      </w:r>
      <w:r w:rsidRPr="00C7707D">
        <w:rPr>
          <w:b/>
          <w:bCs/>
        </w:rPr>
        <w:t xml:space="preserve"> Dumézil </w:t>
      </w:r>
      <w:r w:rsidRPr="00C7707D">
        <w:t xml:space="preserve">définissaient comme « un équilibre subtil né de l’usage ». En prônant une réforme immédiate et totalisante de la graphie, </w:t>
      </w:r>
      <w:r w:rsidRPr="00C7707D">
        <w:rPr>
          <w:b/>
          <w:bCs/>
        </w:rPr>
        <w:t>les promoteurs de l’écriture inclusive violentent les rythmes d’évolution du langage selon une injonction brutale, arbitraire et non concertée, qui méconnaît l’écologie du verbe</w:t>
      </w:r>
      <w:r w:rsidRPr="00C7707D">
        <w:t>.</w:t>
      </w:r>
    </w:p>
    <w:p w:rsidR="00C7707D" w:rsidRPr="00C7707D" w:rsidRDefault="00C7707D" w:rsidP="0028226A">
      <w:pPr>
        <w:spacing w:after="0" w:line="240" w:lineRule="auto"/>
      </w:pPr>
      <w:r w:rsidRPr="00C7707D">
        <w:t xml:space="preserve">Un </w:t>
      </w:r>
      <w:r w:rsidRPr="00C7707D">
        <w:rPr>
          <w:b/>
          <w:bCs/>
        </w:rPr>
        <w:t xml:space="preserve">corset doctrinal </w:t>
      </w:r>
      <w:r w:rsidRPr="00C7707D">
        <w:t xml:space="preserve">prétend ainsi régir la pratique des scripteurs, </w:t>
      </w:r>
      <w:r w:rsidRPr="00C7707D">
        <w:rPr>
          <w:b/>
          <w:bCs/>
        </w:rPr>
        <w:t>mutilant</w:t>
      </w:r>
      <w:r w:rsidRPr="00C7707D">
        <w:t xml:space="preserve"> les respirations et la logique de la langue. En posant qu’il existerait par principe une corrélation entre le genre des vocables et le sexe de leur référent, les propagateurs de l’écriture inclusive méconnaissent naïvement les règles du genre grammatical, où </w:t>
      </w:r>
      <w:r w:rsidRPr="00C7707D">
        <w:rPr>
          <w:b/>
          <w:bCs/>
        </w:rPr>
        <w:t>masculin et féminin ne correspondent pas systématiquement à des catégories sexuées</w:t>
      </w:r>
      <w:r w:rsidRPr="00C7707D">
        <w:t>. Ainsi dit-on « une échelle » mais « un escabeau », et dans l’armée « une sentinelle, une ordonnance » ou « une estafette », un marqueur féminin désignant ici des fonctions historiquement masculines.</w:t>
      </w:r>
    </w:p>
    <w:p w:rsidR="00C7707D" w:rsidRPr="00C7707D" w:rsidRDefault="00C7707D" w:rsidP="0028226A">
      <w:pPr>
        <w:spacing w:after="0" w:line="240" w:lineRule="auto"/>
      </w:pPr>
      <w:r w:rsidRPr="00C7707D">
        <w:rPr>
          <w:b/>
          <w:bCs/>
        </w:rPr>
        <w:t>L’écriture inclusive offusque la démocratie du langage</w:t>
      </w:r>
      <w:r w:rsidRPr="00C7707D">
        <w:t xml:space="preserve">. Outre que la </w:t>
      </w:r>
      <w:r w:rsidRPr="00C7707D">
        <w:rPr>
          <w:b/>
          <w:bCs/>
        </w:rPr>
        <w:t>correspondance avec l’oralité est impraticable</w:t>
      </w:r>
      <w:r w:rsidRPr="00C7707D">
        <w:t xml:space="preserve">, elle a pour effet d’installer une langue seconde dont la complexité pénalise les personnes affectées d’un handicap cognitif, notamment la </w:t>
      </w:r>
      <w:r w:rsidRPr="00C7707D">
        <w:rPr>
          <w:b/>
          <w:bCs/>
        </w:rPr>
        <w:t>dyslexie</w:t>
      </w:r>
      <w:r w:rsidRPr="00C7707D">
        <w:t xml:space="preserve">, la </w:t>
      </w:r>
      <w:r w:rsidRPr="00C7707D">
        <w:rPr>
          <w:b/>
          <w:bCs/>
        </w:rPr>
        <w:t>dysphasie</w:t>
      </w:r>
      <w:r w:rsidRPr="00C7707D">
        <w:t xml:space="preserve"> ou l’</w:t>
      </w:r>
      <w:r w:rsidRPr="00C7707D">
        <w:rPr>
          <w:b/>
          <w:bCs/>
        </w:rPr>
        <w:t>apraxie</w:t>
      </w:r>
      <w:r w:rsidRPr="00C7707D">
        <w:t xml:space="preserve">. Une apparente pétition de justice a pour effet concret </w:t>
      </w:r>
      <w:r w:rsidRPr="00C7707D">
        <w:rPr>
          <w:b/>
          <w:bCs/>
        </w:rPr>
        <w:t>d’aggraver des inégalités</w:t>
      </w:r>
      <w:r w:rsidRPr="00C7707D">
        <w:t>.</w:t>
      </w:r>
    </w:p>
    <w:p w:rsidR="00C7707D" w:rsidRPr="00C7707D" w:rsidRDefault="00C7707D" w:rsidP="0028226A">
      <w:pPr>
        <w:spacing w:after="0" w:line="240" w:lineRule="auto"/>
      </w:pPr>
      <w:r w:rsidRPr="00C7707D">
        <w:t xml:space="preserve">L’écriture inclusive </w:t>
      </w:r>
      <w:r w:rsidRPr="00C7707D">
        <w:rPr>
          <w:b/>
          <w:bCs/>
        </w:rPr>
        <w:t>trouble les pratiques d’apprentissage et de transmission de la langue française</w:t>
      </w:r>
      <w:r w:rsidRPr="00C7707D">
        <w:t xml:space="preserve">, déjà complexes, en ouvrant un champ d’incertitude qui crispe le débat sur des </w:t>
      </w:r>
      <w:r w:rsidRPr="00C7707D">
        <w:rPr>
          <w:b/>
          <w:bCs/>
        </w:rPr>
        <w:t>incantations graphiques</w:t>
      </w:r>
      <w:r w:rsidRPr="00C7707D">
        <w:t>. En focalisant l’attention sur</w:t>
      </w:r>
      <w:r w:rsidRPr="00C7707D">
        <w:rPr>
          <w:b/>
          <w:bCs/>
        </w:rPr>
        <w:t xml:space="preserve"> l’obsession du genre</w:t>
      </w:r>
      <w:r w:rsidRPr="00C7707D">
        <w:t xml:space="preserve">, elle restreint le rapport à la langue en </w:t>
      </w:r>
      <w:r w:rsidRPr="00C7707D">
        <w:rPr>
          <w:b/>
          <w:bCs/>
        </w:rPr>
        <w:t>inhibant une expression plus ample de la pensée</w:t>
      </w:r>
      <w:r w:rsidRPr="00C7707D">
        <w:t xml:space="preserve">. Bien loin de susciter l’adhésion d’une majorité de contemporains, elle apparaît comme le domaine réservé </w:t>
      </w:r>
      <w:r w:rsidRPr="00C7707D">
        <w:rPr>
          <w:b/>
          <w:bCs/>
        </w:rPr>
        <w:t>d’une élite, inconsciente des difficultés rencontrées au quotidien par les pédagogues et les usagers du système scolaire.</w:t>
      </w:r>
    </w:p>
    <w:p w:rsidR="00C7707D" w:rsidRPr="00C7707D" w:rsidRDefault="00C7707D" w:rsidP="0028226A">
      <w:pPr>
        <w:spacing w:after="0" w:line="240" w:lineRule="auto"/>
      </w:pPr>
      <w:r w:rsidRPr="00C7707D">
        <w:t xml:space="preserve">L’écriture inclusive installe ainsi un débat de l’entre-soi cantonné à un périmètre limité, </w:t>
      </w:r>
      <w:r w:rsidRPr="00C7707D">
        <w:rPr>
          <w:b/>
          <w:bCs/>
        </w:rPr>
        <w:t xml:space="preserve">au préjudice des étrangers désireux d’apprendre notre langue </w:t>
      </w:r>
      <w:r w:rsidRPr="00C7707D">
        <w:t>telle qu’elle leur est souvent transmise par de grands textes patrimoniaux. Dans un monde où la francophonie, principalement sur le continent africain, est appelée à un développement exponentiel, ce mode d’écriture dissuasif est susceptible de renforcer l’anglais comme langue véhiculaire.</w:t>
      </w:r>
    </w:p>
    <w:p w:rsidR="00C7707D" w:rsidRPr="00C7707D" w:rsidRDefault="00C7707D" w:rsidP="0028226A">
      <w:pPr>
        <w:spacing w:after="0" w:line="240" w:lineRule="auto"/>
      </w:pPr>
      <w:r w:rsidRPr="00C7707D">
        <w:t>Hélène CARRÈRE d’ENCAUSSE                                                                     Marc LAMBRON</w:t>
      </w:r>
    </w:p>
    <w:p w:rsidR="00C7707D" w:rsidRPr="00C7707D" w:rsidRDefault="00C7707D" w:rsidP="0028226A">
      <w:pPr>
        <w:spacing w:after="0" w:line="240" w:lineRule="auto"/>
      </w:pPr>
      <w:r w:rsidRPr="00C7707D">
        <w:t>Secrétaire perpétuel                                                                                     Directeur en exercice</w:t>
      </w:r>
      <w:r w:rsidRPr="00C7707D">
        <w:br/>
        <w:t>de l’Académie française                                                                               de l’Académie française</w:t>
      </w:r>
    </w:p>
    <w:p w:rsidR="008C2274" w:rsidRDefault="008C2274" w:rsidP="0028226A">
      <w:pPr>
        <w:spacing w:after="0" w:line="240" w:lineRule="auto"/>
      </w:pPr>
    </w:p>
    <w:p w:rsidR="0028226A" w:rsidRDefault="0028226A" w:rsidP="0028226A">
      <w:pPr>
        <w:spacing w:after="0" w:line="240" w:lineRule="auto"/>
      </w:pPr>
    </w:p>
    <w:p w:rsidR="00B863D0" w:rsidRPr="0028226A" w:rsidRDefault="00B863D0" w:rsidP="0028226A">
      <w:pPr>
        <w:spacing w:after="0" w:line="240" w:lineRule="auto"/>
        <w:rPr>
          <w:b/>
        </w:rPr>
      </w:pPr>
      <w:r w:rsidRPr="0028226A">
        <w:rPr>
          <w:b/>
        </w:rPr>
        <w:t>Bibliographie</w:t>
      </w:r>
    </w:p>
    <w:p w:rsidR="00B863D0" w:rsidRDefault="00B863D0" w:rsidP="0028226A">
      <w:pPr>
        <w:spacing w:after="0" w:line="240" w:lineRule="auto"/>
      </w:pPr>
      <w:r>
        <w:t xml:space="preserve">Les défis de l’écriture inclusive, Le discours et la Langue, Tome 11.1 (2019), Alain </w:t>
      </w:r>
      <w:proofErr w:type="spellStart"/>
      <w:r>
        <w:t>Rabatel</w:t>
      </w:r>
      <w:proofErr w:type="spellEnd"/>
      <w:r>
        <w:t xml:space="preserve"> et Laurence Rosier (</w:t>
      </w:r>
      <w:proofErr w:type="spellStart"/>
      <w:r>
        <w:t>éds</w:t>
      </w:r>
      <w:proofErr w:type="spellEnd"/>
      <w:r>
        <w:t xml:space="preserve">), EME éditions : </w:t>
      </w:r>
      <w:proofErr w:type="spellStart"/>
      <w:r>
        <w:t>Louvain-la-neuve</w:t>
      </w:r>
      <w:proofErr w:type="spellEnd"/>
      <w:r>
        <w:t>, 188p.</w:t>
      </w:r>
    </w:p>
    <w:p w:rsidR="00B863D0" w:rsidRDefault="00B863D0" w:rsidP="0028226A">
      <w:pPr>
        <w:spacing w:after="0" w:line="240" w:lineRule="auto"/>
      </w:pPr>
      <w:r>
        <w:t xml:space="preserve">Le genre grammatical et l’écriture inclusive en français, Observables n°1 (2021), </w:t>
      </w:r>
      <w:proofErr w:type="spellStart"/>
      <w:r>
        <w:t>Yana</w:t>
      </w:r>
      <w:proofErr w:type="spellEnd"/>
      <w:r>
        <w:t xml:space="preserve"> </w:t>
      </w:r>
      <w:proofErr w:type="spellStart"/>
      <w:r>
        <w:t>Grinshpun</w:t>
      </w:r>
      <w:proofErr w:type="spellEnd"/>
      <w:r>
        <w:t xml:space="preserve"> et Jean </w:t>
      </w:r>
      <w:proofErr w:type="spellStart"/>
      <w:r>
        <w:t>Szlamowicz</w:t>
      </w:r>
      <w:proofErr w:type="spellEnd"/>
      <w:r>
        <w:t xml:space="preserve"> (</w:t>
      </w:r>
      <w:proofErr w:type="spellStart"/>
      <w:r>
        <w:t>éds</w:t>
      </w:r>
      <w:proofErr w:type="spellEnd"/>
      <w:r>
        <w:t>), 202p.</w:t>
      </w:r>
    </w:p>
    <w:p w:rsidR="00B863D0" w:rsidRDefault="00B863D0" w:rsidP="0028226A">
      <w:pPr>
        <w:spacing w:after="0" w:line="240" w:lineRule="auto"/>
      </w:pPr>
      <w:r>
        <w:t xml:space="preserve">Le français va très bien, merci, Tracts n°49 (2023), Les linguistes atterrées, Gallimard : Paris, </w:t>
      </w:r>
    </w:p>
    <w:sectPr w:rsidR="00B863D0" w:rsidSect="00B863D0">
      <w:pgSz w:w="11900" w:h="16840"/>
      <w:pgMar w:top="1417" w:right="1417" w:bottom="1417" w:left="1417"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014622"/>
    <w:multiLevelType w:val="hybridMultilevel"/>
    <w:tmpl w:val="76680CE0"/>
    <w:lvl w:ilvl="0" w:tplc="61C2C8B6">
      <w:start w:val="1"/>
      <w:numFmt w:val="bullet"/>
      <w:lvlText w:val="•"/>
      <w:lvlJc w:val="left"/>
      <w:pPr>
        <w:tabs>
          <w:tab w:val="num" w:pos="720"/>
        </w:tabs>
        <w:ind w:left="720" w:hanging="360"/>
      </w:pPr>
      <w:rPr>
        <w:rFonts w:ascii="Arial" w:hAnsi="Arial" w:hint="default"/>
      </w:rPr>
    </w:lvl>
    <w:lvl w:ilvl="1" w:tplc="64E2C2C0" w:tentative="1">
      <w:start w:val="1"/>
      <w:numFmt w:val="bullet"/>
      <w:lvlText w:val="•"/>
      <w:lvlJc w:val="left"/>
      <w:pPr>
        <w:tabs>
          <w:tab w:val="num" w:pos="1440"/>
        </w:tabs>
        <w:ind w:left="1440" w:hanging="360"/>
      </w:pPr>
      <w:rPr>
        <w:rFonts w:ascii="Arial" w:hAnsi="Arial" w:hint="default"/>
      </w:rPr>
    </w:lvl>
    <w:lvl w:ilvl="2" w:tplc="F37A4BC2" w:tentative="1">
      <w:start w:val="1"/>
      <w:numFmt w:val="bullet"/>
      <w:lvlText w:val="•"/>
      <w:lvlJc w:val="left"/>
      <w:pPr>
        <w:tabs>
          <w:tab w:val="num" w:pos="2160"/>
        </w:tabs>
        <w:ind w:left="2160" w:hanging="360"/>
      </w:pPr>
      <w:rPr>
        <w:rFonts w:ascii="Arial" w:hAnsi="Arial" w:hint="default"/>
      </w:rPr>
    </w:lvl>
    <w:lvl w:ilvl="3" w:tplc="AAF4EE9A" w:tentative="1">
      <w:start w:val="1"/>
      <w:numFmt w:val="bullet"/>
      <w:lvlText w:val="•"/>
      <w:lvlJc w:val="left"/>
      <w:pPr>
        <w:tabs>
          <w:tab w:val="num" w:pos="2880"/>
        </w:tabs>
        <w:ind w:left="2880" w:hanging="360"/>
      </w:pPr>
      <w:rPr>
        <w:rFonts w:ascii="Arial" w:hAnsi="Arial" w:hint="default"/>
      </w:rPr>
    </w:lvl>
    <w:lvl w:ilvl="4" w:tplc="343E926C" w:tentative="1">
      <w:start w:val="1"/>
      <w:numFmt w:val="bullet"/>
      <w:lvlText w:val="•"/>
      <w:lvlJc w:val="left"/>
      <w:pPr>
        <w:tabs>
          <w:tab w:val="num" w:pos="3600"/>
        </w:tabs>
        <w:ind w:left="3600" w:hanging="360"/>
      </w:pPr>
      <w:rPr>
        <w:rFonts w:ascii="Arial" w:hAnsi="Arial" w:hint="default"/>
      </w:rPr>
    </w:lvl>
    <w:lvl w:ilvl="5" w:tplc="C4105034" w:tentative="1">
      <w:start w:val="1"/>
      <w:numFmt w:val="bullet"/>
      <w:lvlText w:val="•"/>
      <w:lvlJc w:val="left"/>
      <w:pPr>
        <w:tabs>
          <w:tab w:val="num" w:pos="4320"/>
        </w:tabs>
        <w:ind w:left="4320" w:hanging="360"/>
      </w:pPr>
      <w:rPr>
        <w:rFonts w:ascii="Arial" w:hAnsi="Arial" w:hint="default"/>
      </w:rPr>
    </w:lvl>
    <w:lvl w:ilvl="6" w:tplc="455E794A" w:tentative="1">
      <w:start w:val="1"/>
      <w:numFmt w:val="bullet"/>
      <w:lvlText w:val="•"/>
      <w:lvlJc w:val="left"/>
      <w:pPr>
        <w:tabs>
          <w:tab w:val="num" w:pos="5040"/>
        </w:tabs>
        <w:ind w:left="5040" w:hanging="360"/>
      </w:pPr>
      <w:rPr>
        <w:rFonts w:ascii="Arial" w:hAnsi="Arial" w:hint="default"/>
      </w:rPr>
    </w:lvl>
    <w:lvl w:ilvl="7" w:tplc="915637EC" w:tentative="1">
      <w:start w:val="1"/>
      <w:numFmt w:val="bullet"/>
      <w:lvlText w:val="•"/>
      <w:lvlJc w:val="left"/>
      <w:pPr>
        <w:tabs>
          <w:tab w:val="num" w:pos="5760"/>
        </w:tabs>
        <w:ind w:left="5760" w:hanging="360"/>
      </w:pPr>
      <w:rPr>
        <w:rFonts w:ascii="Arial" w:hAnsi="Arial" w:hint="default"/>
      </w:rPr>
    </w:lvl>
    <w:lvl w:ilvl="8" w:tplc="DB6C5D70"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3D0"/>
    <w:rsid w:val="0028226A"/>
    <w:rsid w:val="00776EC6"/>
    <w:rsid w:val="008C2274"/>
    <w:rsid w:val="00A46EFB"/>
    <w:rsid w:val="00A7073A"/>
    <w:rsid w:val="00B863D0"/>
    <w:rsid w:val="00C770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49F05"/>
  <w15:chartTrackingRefBased/>
  <w15:docId w15:val="{FD85F5BD-C496-4029-B4F1-AD33F7331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245273">
      <w:bodyDiv w:val="1"/>
      <w:marLeft w:val="0"/>
      <w:marRight w:val="0"/>
      <w:marTop w:val="0"/>
      <w:marBottom w:val="0"/>
      <w:divBdr>
        <w:top w:val="none" w:sz="0" w:space="0" w:color="auto"/>
        <w:left w:val="none" w:sz="0" w:space="0" w:color="auto"/>
        <w:bottom w:val="none" w:sz="0" w:space="0" w:color="auto"/>
        <w:right w:val="none" w:sz="0" w:space="0" w:color="auto"/>
      </w:divBdr>
    </w:div>
    <w:div w:id="202718364">
      <w:bodyDiv w:val="1"/>
      <w:marLeft w:val="0"/>
      <w:marRight w:val="0"/>
      <w:marTop w:val="0"/>
      <w:marBottom w:val="0"/>
      <w:divBdr>
        <w:top w:val="none" w:sz="0" w:space="0" w:color="auto"/>
        <w:left w:val="none" w:sz="0" w:space="0" w:color="auto"/>
        <w:bottom w:val="none" w:sz="0" w:space="0" w:color="auto"/>
        <w:right w:val="none" w:sz="0" w:space="0" w:color="auto"/>
      </w:divBdr>
    </w:div>
    <w:div w:id="621885528">
      <w:bodyDiv w:val="1"/>
      <w:marLeft w:val="0"/>
      <w:marRight w:val="0"/>
      <w:marTop w:val="0"/>
      <w:marBottom w:val="0"/>
      <w:divBdr>
        <w:top w:val="none" w:sz="0" w:space="0" w:color="auto"/>
        <w:left w:val="none" w:sz="0" w:space="0" w:color="auto"/>
        <w:bottom w:val="none" w:sz="0" w:space="0" w:color="auto"/>
        <w:right w:val="none" w:sz="0" w:space="0" w:color="auto"/>
      </w:divBdr>
    </w:div>
    <w:div w:id="813529629">
      <w:bodyDiv w:val="1"/>
      <w:marLeft w:val="0"/>
      <w:marRight w:val="0"/>
      <w:marTop w:val="0"/>
      <w:marBottom w:val="0"/>
      <w:divBdr>
        <w:top w:val="none" w:sz="0" w:space="0" w:color="auto"/>
        <w:left w:val="none" w:sz="0" w:space="0" w:color="auto"/>
        <w:bottom w:val="none" w:sz="0" w:space="0" w:color="auto"/>
        <w:right w:val="none" w:sz="0" w:space="0" w:color="auto"/>
      </w:divBdr>
    </w:div>
    <w:div w:id="923494351">
      <w:bodyDiv w:val="1"/>
      <w:marLeft w:val="0"/>
      <w:marRight w:val="0"/>
      <w:marTop w:val="0"/>
      <w:marBottom w:val="0"/>
      <w:divBdr>
        <w:top w:val="none" w:sz="0" w:space="0" w:color="auto"/>
        <w:left w:val="none" w:sz="0" w:space="0" w:color="auto"/>
        <w:bottom w:val="none" w:sz="0" w:space="0" w:color="auto"/>
        <w:right w:val="none" w:sz="0" w:space="0" w:color="auto"/>
      </w:divBdr>
    </w:div>
    <w:div w:id="954869358">
      <w:bodyDiv w:val="1"/>
      <w:marLeft w:val="0"/>
      <w:marRight w:val="0"/>
      <w:marTop w:val="0"/>
      <w:marBottom w:val="0"/>
      <w:divBdr>
        <w:top w:val="none" w:sz="0" w:space="0" w:color="auto"/>
        <w:left w:val="none" w:sz="0" w:space="0" w:color="auto"/>
        <w:bottom w:val="none" w:sz="0" w:space="0" w:color="auto"/>
        <w:right w:val="none" w:sz="0" w:space="0" w:color="auto"/>
      </w:divBdr>
    </w:div>
    <w:div w:id="1090854827">
      <w:bodyDiv w:val="1"/>
      <w:marLeft w:val="0"/>
      <w:marRight w:val="0"/>
      <w:marTop w:val="0"/>
      <w:marBottom w:val="0"/>
      <w:divBdr>
        <w:top w:val="none" w:sz="0" w:space="0" w:color="auto"/>
        <w:left w:val="none" w:sz="0" w:space="0" w:color="auto"/>
        <w:bottom w:val="none" w:sz="0" w:space="0" w:color="auto"/>
        <w:right w:val="none" w:sz="0" w:space="0" w:color="auto"/>
      </w:divBdr>
    </w:div>
    <w:div w:id="1182668501">
      <w:bodyDiv w:val="1"/>
      <w:marLeft w:val="0"/>
      <w:marRight w:val="0"/>
      <w:marTop w:val="0"/>
      <w:marBottom w:val="0"/>
      <w:divBdr>
        <w:top w:val="none" w:sz="0" w:space="0" w:color="auto"/>
        <w:left w:val="none" w:sz="0" w:space="0" w:color="auto"/>
        <w:bottom w:val="none" w:sz="0" w:space="0" w:color="auto"/>
        <w:right w:val="none" w:sz="0" w:space="0" w:color="auto"/>
      </w:divBdr>
    </w:div>
    <w:div w:id="1391414991">
      <w:bodyDiv w:val="1"/>
      <w:marLeft w:val="0"/>
      <w:marRight w:val="0"/>
      <w:marTop w:val="0"/>
      <w:marBottom w:val="0"/>
      <w:divBdr>
        <w:top w:val="none" w:sz="0" w:space="0" w:color="auto"/>
        <w:left w:val="none" w:sz="0" w:space="0" w:color="auto"/>
        <w:bottom w:val="none" w:sz="0" w:space="0" w:color="auto"/>
        <w:right w:val="none" w:sz="0" w:space="0" w:color="auto"/>
      </w:divBdr>
    </w:div>
    <w:div w:id="1585263124">
      <w:bodyDiv w:val="1"/>
      <w:marLeft w:val="0"/>
      <w:marRight w:val="0"/>
      <w:marTop w:val="0"/>
      <w:marBottom w:val="0"/>
      <w:divBdr>
        <w:top w:val="none" w:sz="0" w:space="0" w:color="auto"/>
        <w:left w:val="none" w:sz="0" w:space="0" w:color="auto"/>
        <w:bottom w:val="none" w:sz="0" w:space="0" w:color="auto"/>
        <w:right w:val="none" w:sz="0" w:space="0" w:color="auto"/>
      </w:divBdr>
      <w:divsChild>
        <w:div w:id="682443116">
          <w:marLeft w:val="360"/>
          <w:marRight w:val="0"/>
          <w:marTop w:val="0"/>
          <w:marBottom w:val="0"/>
          <w:divBdr>
            <w:top w:val="none" w:sz="0" w:space="0" w:color="auto"/>
            <w:left w:val="none" w:sz="0" w:space="0" w:color="auto"/>
            <w:bottom w:val="none" w:sz="0" w:space="0" w:color="auto"/>
            <w:right w:val="none" w:sz="0" w:space="0" w:color="auto"/>
          </w:divBdr>
        </w:div>
        <w:div w:id="1415712254">
          <w:marLeft w:val="360"/>
          <w:marRight w:val="0"/>
          <w:marTop w:val="0"/>
          <w:marBottom w:val="0"/>
          <w:divBdr>
            <w:top w:val="none" w:sz="0" w:space="0" w:color="auto"/>
            <w:left w:val="none" w:sz="0" w:space="0" w:color="auto"/>
            <w:bottom w:val="none" w:sz="0" w:space="0" w:color="auto"/>
            <w:right w:val="none" w:sz="0" w:space="0" w:color="auto"/>
          </w:divBdr>
        </w:div>
        <w:div w:id="1434477661">
          <w:marLeft w:val="360"/>
          <w:marRight w:val="0"/>
          <w:marTop w:val="0"/>
          <w:marBottom w:val="0"/>
          <w:divBdr>
            <w:top w:val="none" w:sz="0" w:space="0" w:color="auto"/>
            <w:left w:val="none" w:sz="0" w:space="0" w:color="auto"/>
            <w:bottom w:val="none" w:sz="0" w:space="0" w:color="auto"/>
            <w:right w:val="none" w:sz="0" w:space="0" w:color="auto"/>
          </w:divBdr>
        </w:div>
      </w:divsChild>
    </w:div>
    <w:div w:id="1693723330">
      <w:bodyDiv w:val="1"/>
      <w:marLeft w:val="0"/>
      <w:marRight w:val="0"/>
      <w:marTop w:val="0"/>
      <w:marBottom w:val="0"/>
      <w:divBdr>
        <w:top w:val="none" w:sz="0" w:space="0" w:color="auto"/>
        <w:left w:val="none" w:sz="0" w:space="0" w:color="auto"/>
        <w:bottom w:val="none" w:sz="0" w:space="0" w:color="auto"/>
        <w:right w:val="none" w:sz="0" w:space="0" w:color="auto"/>
      </w:divBdr>
    </w:div>
    <w:div w:id="1893492146">
      <w:bodyDiv w:val="1"/>
      <w:marLeft w:val="0"/>
      <w:marRight w:val="0"/>
      <w:marTop w:val="0"/>
      <w:marBottom w:val="0"/>
      <w:divBdr>
        <w:top w:val="none" w:sz="0" w:space="0" w:color="auto"/>
        <w:left w:val="none" w:sz="0" w:space="0" w:color="auto"/>
        <w:bottom w:val="none" w:sz="0" w:space="0" w:color="auto"/>
        <w:right w:val="none" w:sz="0" w:space="0" w:color="auto"/>
      </w:divBdr>
    </w:div>
    <w:div w:id="1979261898">
      <w:bodyDiv w:val="1"/>
      <w:marLeft w:val="0"/>
      <w:marRight w:val="0"/>
      <w:marTop w:val="0"/>
      <w:marBottom w:val="0"/>
      <w:divBdr>
        <w:top w:val="none" w:sz="0" w:space="0" w:color="auto"/>
        <w:left w:val="none" w:sz="0" w:space="0" w:color="auto"/>
        <w:bottom w:val="none" w:sz="0" w:space="0" w:color="auto"/>
        <w:right w:val="none" w:sz="0" w:space="0" w:color="auto"/>
      </w:divBdr>
    </w:div>
    <w:div w:id="206486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1020</Words>
  <Characters>5610</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1</cp:revision>
  <dcterms:created xsi:type="dcterms:W3CDTF">2025-09-30T12:37:00Z</dcterms:created>
  <dcterms:modified xsi:type="dcterms:W3CDTF">2025-09-30T13:19:00Z</dcterms:modified>
</cp:coreProperties>
</file>