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EE27A" w14:textId="0ADB0E07" w:rsidR="0065728C" w:rsidRPr="00753597" w:rsidRDefault="00753597" w:rsidP="00753597">
      <w:pPr>
        <w:jc w:val="center"/>
        <w:rPr>
          <w:b/>
          <w:bCs/>
          <w:sz w:val="32"/>
          <w:szCs w:val="32"/>
        </w:rPr>
      </w:pPr>
      <w:r w:rsidRPr="00D04AAF">
        <w:rPr>
          <w:b/>
          <w:bCs/>
          <w:sz w:val="32"/>
          <w:szCs w:val="32"/>
        </w:rPr>
        <w:t>L’URSS de Staline</w:t>
      </w:r>
    </w:p>
    <w:p w14:paraId="7429AF55" w14:textId="4439F6F2" w:rsidR="00753597" w:rsidRPr="00753597" w:rsidRDefault="00753597" w:rsidP="00753597">
      <w:pPr>
        <w:jc w:val="center"/>
        <w:rPr>
          <w:i/>
          <w:iCs/>
        </w:rPr>
      </w:pPr>
      <w:r w:rsidRPr="00753597">
        <w:rPr>
          <w:i/>
          <w:iCs/>
        </w:rPr>
        <w:t>Documents complémentaires</w:t>
      </w:r>
    </w:p>
    <w:p w14:paraId="43F42182" w14:textId="78110E2A" w:rsidR="00753597" w:rsidRPr="00753597" w:rsidRDefault="00753597">
      <w:pPr>
        <w:rPr>
          <w:b/>
          <w:bCs/>
        </w:rPr>
      </w:pPr>
      <w:r w:rsidRPr="00753597">
        <w:rPr>
          <w:b/>
          <w:bCs/>
        </w:rPr>
        <w:t>Un Etat fédéral</w:t>
      </w:r>
    </w:p>
    <w:p w14:paraId="1C16C7F6" w14:textId="4B8A7CBB" w:rsidR="00753597" w:rsidRDefault="00753597">
      <w:r w:rsidRPr="00753597">
        <w:drawing>
          <wp:inline distT="0" distB="0" distL="0" distR="0" wp14:anchorId="1ADFFB10" wp14:editId="118E6AF7">
            <wp:extent cx="5760720" cy="3081655"/>
            <wp:effectExtent l="0" t="0" r="0" b="4445"/>
            <wp:docPr id="1560893798" name="Espace réservé du contenu 3">
              <a:extLst xmlns:a="http://schemas.openxmlformats.org/drawingml/2006/main">
                <a:ext uri="{FF2B5EF4-FFF2-40B4-BE49-F238E27FC236}">
                  <a16:creationId xmlns:a16="http://schemas.microsoft.com/office/drawing/2014/main" id="{8F538EA9-5924-8399-FBD4-68D5B5D60E6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Espace réservé du contenu 3">
                      <a:extLst>
                        <a:ext uri="{FF2B5EF4-FFF2-40B4-BE49-F238E27FC236}">
                          <a16:creationId xmlns:a16="http://schemas.microsoft.com/office/drawing/2014/main" id="{8F538EA9-5924-8399-FBD4-68D5B5D60E65}"/>
                        </a:ext>
                      </a:extLst>
                    </pic:cNvPr>
                    <pic:cNvPicPr>
                      <a:picLocks noGrp="1" noChangeAspect="1"/>
                    </pic:cNvPicPr>
                  </pic:nvPicPr>
                  <pic:blipFill>
                    <a:blip r:embed="rId5">
                      <a:extLst>
                        <a:ext uri="{28A0092B-C50C-407E-A947-70E740481C1C}">
                          <a14:useLocalDpi xmlns:a14="http://schemas.microsoft.com/office/drawing/2010/main" val="0"/>
                        </a:ext>
                      </a:extLst>
                    </a:blip>
                    <a:srcRect l="19238" t="2339" r="1721" b="1761"/>
                    <a:stretch/>
                  </pic:blipFill>
                  <pic:spPr>
                    <a:xfrm>
                      <a:off x="0" y="0"/>
                      <a:ext cx="5760720" cy="3081655"/>
                    </a:xfrm>
                    <a:prstGeom prst="rect">
                      <a:avLst/>
                    </a:prstGeom>
                  </pic:spPr>
                </pic:pic>
              </a:graphicData>
            </a:graphic>
          </wp:inline>
        </w:drawing>
      </w:r>
    </w:p>
    <w:p w14:paraId="2EC831C2" w14:textId="77777777" w:rsidR="00753597" w:rsidRDefault="00753597">
      <w:pPr>
        <w:rPr>
          <w:b/>
          <w:bCs/>
        </w:rPr>
      </w:pPr>
    </w:p>
    <w:p w14:paraId="35022959" w14:textId="7EC38B69" w:rsidR="00753597" w:rsidRPr="00753597" w:rsidRDefault="00753597">
      <w:pPr>
        <w:rPr>
          <w:b/>
          <w:bCs/>
        </w:rPr>
      </w:pPr>
      <w:r w:rsidRPr="00753597">
        <w:rPr>
          <w:b/>
          <w:bCs/>
        </w:rPr>
        <w:t>La Constitution de 1936</w:t>
      </w:r>
    </w:p>
    <w:p w14:paraId="2CC22E60" w14:textId="15B88575" w:rsidR="00753597" w:rsidRDefault="00753597" w:rsidP="00753597">
      <w:r w:rsidRPr="00753597">
        <w:drawing>
          <wp:inline distT="0" distB="0" distL="0" distR="0" wp14:anchorId="1D25AFA1" wp14:editId="4138D21B">
            <wp:extent cx="5760720" cy="4059555"/>
            <wp:effectExtent l="0" t="0" r="0" b="0"/>
            <wp:docPr id="1026" name="Picture 2" descr="undefined">
              <a:extLst xmlns:a="http://schemas.openxmlformats.org/drawingml/2006/main">
                <a:ext uri="{FF2B5EF4-FFF2-40B4-BE49-F238E27FC236}">
                  <a16:creationId xmlns:a16="http://schemas.microsoft.com/office/drawing/2014/main" id="{4C7A2965-469F-246E-CB32-2039B9B63FA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descr="undefined">
                      <a:extLst>
                        <a:ext uri="{FF2B5EF4-FFF2-40B4-BE49-F238E27FC236}">
                          <a16:creationId xmlns:a16="http://schemas.microsoft.com/office/drawing/2014/main" id="{4C7A2965-469F-246E-CB32-2039B9B63FA2}"/>
                        </a:ext>
                      </a:extLst>
                    </pic:cNvPr>
                    <pic:cNvPicPr>
                      <a:picLocks noGrp="1"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4059555"/>
                    </a:xfrm>
                    <a:prstGeom prst="rect">
                      <a:avLst/>
                    </a:prstGeom>
                    <a:noFill/>
                  </pic:spPr>
                </pic:pic>
              </a:graphicData>
            </a:graphic>
          </wp:inline>
        </w:drawing>
      </w:r>
      <w:r w:rsidRPr="00753597">
        <w:t xml:space="preserve"> </w:t>
      </w:r>
    </w:p>
    <w:p w14:paraId="4732A455" w14:textId="6555CCAA" w:rsidR="00753597" w:rsidRDefault="00753597" w:rsidP="00753597">
      <w:r w:rsidRPr="00753597">
        <w:lastRenderedPageBreak/>
        <w:drawing>
          <wp:inline distT="0" distB="0" distL="0" distR="0" wp14:anchorId="279973DF" wp14:editId="7FE40322">
            <wp:extent cx="5166360" cy="2715300"/>
            <wp:effectExtent l="0" t="0" r="0" b="8890"/>
            <wp:docPr id="5" name="Espace réservé du contenu 4">
              <a:extLst xmlns:a="http://schemas.openxmlformats.org/drawingml/2006/main">
                <a:ext uri="{FF2B5EF4-FFF2-40B4-BE49-F238E27FC236}">
                  <a16:creationId xmlns:a16="http://schemas.microsoft.com/office/drawing/2014/main" id="{D23CC1F0-0A7F-2116-F0CA-9566207BEB60}"/>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Espace réservé du contenu 4">
                      <a:extLst>
                        <a:ext uri="{FF2B5EF4-FFF2-40B4-BE49-F238E27FC236}">
                          <a16:creationId xmlns:a16="http://schemas.microsoft.com/office/drawing/2014/main" id="{D23CC1F0-0A7F-2116-F0CA-9566207BEB60}"/>
                        </a:ext>
                      </a:extLst>
                    </pic:cNvPr>
                    <pic:cNvPicPr>
                      <a:picLocks noGrp="1"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181886" cy="2723460"/>
                    </a:xfrm>
                    <a:prstGeom prst="rect">
                      <a:avLst/>
                    </a:prstGeom>
                  </pic:spPr>
                </pic:pic>
              </a:graphicData>
            </a:graphic>
          </wp:inline>
        </w:drawing>
      </w:r>
    </w:p>
    <w:p w14:paraId="791D5B85" w14:textId="77777777" w:rsidR="00F7532B" w:rsidRDefault="00F7532B" w:rsidP="00753597"/>
    <w:p w14:paraId="75233813" w14:textId="69591ED8" w:rsidR="00753597" w:rsidRDefault="00F7532B" w:rsidP="00753597">
      <w:r>
        <w:rPr>
          <w:noProof/>
        </w:rPr>
        <mc:AlternateContent>
          <mc:Choice Requires="wps">
            <w:drawing>
              <wp:anchor distT="0" distB="0" distL="114300" distR="114300" simplePos="0" relativeHeight="251661312" behindDoc="0" locked="0" layoutInCell="1" allowOverlap="1" wp14:anchorId="2567A830" wp14:editId="2521A186">
                <wp:simplePos x="0" y="0"/>
                <wp:positionH relativeFrom="column">
                  <wp:posOffset>3062605</wp:posOffset>
                </wp:positionH>
                <wp:positionV relativeFrom="paragraph">
                  <wp:posOffset>51435</wp:posOffset>
                </wp:positionV>
                <wp:extent cx="2590800" cy="2377440"/>
                <wp:effectExtent l="0" t="0" r="19050" b="22860"/>
                <wp:wrapNone/>
                <wp:docPr id="450950032" name="Zone de texte 1"/>
                <wp:cNvGraphicFramePr/>
                <a:graphic xmlns:a="http://schemas.openxmlformats.org/drawingml/2006/main">
                  <a:graphicData uri="http://schemas.microsoft.com/office/word/2010/wordprocessingShape">
                    <wps:wsp>
                      <wps:cNvSpPr txBox="1"/>
                      <wps:spPr>
                        <a:xfrm>
                          <a:off x="0" y="0"/>
                          <a:ext cx="2590800" cy="2377440"/>
                        </a:xfrm>
                        <a:prstGeom prst="rect">
                          <a:avLst/>
                        </a:prstGeom>
                        <a:solidFill>
                          <a:schemeClr val="lt1"/>
                        </a:solidFill>
                        <a:ln w="6350">
                          <a:solidFill>
                            <a:prstClr val="black"/>
                          </a:solidFill>
                        </a:ln>
                      </wps:spPr>
                      <wps:txbx>
                        <w:txbxContent>
                          <w:p w14:paraId="0EDD8922" w14:textId="77777777" w:rsidR="00F7532B" w:rsidRPr="00753597" w:rsidRDefault="00F7532B" w:rsidP="00F7532B">
                            <w:r w:rsidRPr="00753597">
                              <w:rPr>
                                <w:b/>
                                <w:bCs/>
                              </w:rPr>
                              <w:t>Kolkhoze</w:t>
                            </w:r>
                            <w:r w:rsidRPr="00753597">
                              <w:t> : Exploitation agricole collective dans laquelle la terre, les bâtiments d'exploitation, le matériel et une partie du bétail sont mis en commun. Les premières exploitations voient le jour en 1917 sur la base du volontariat. Le travailleur reçoit une part de la récolte.</w:t>
                            </w:r>
                          </w:p>
                          <w:p w14:paraId="63E2A1C2" w14:textId="77777777" w:rsidR="00F7532B" w:rsidRPr="00753597" w:rsidRDefault="00F7532B" w:rsidP="00F7532B">
                            <w:r w:rsidRPr="00753597">
                              <w:rPr>
                                <w:b/>
                                <w:bCs/>
                              </w:rPr>
                              <w:t>Sovkhoze</w:t>
                            </w:r>
                            <w:r w:rsidRPr="00753597">
                              <w:t xml:space="preserve"> : ferme d’Etat, l’agriculteur est salarié.</w:t>
                            </w:r>
                          </w:p>
                          <w:p w14:paraId="232B18FE" w14:textId="77777777" w:rsidR="00F7532B" w:rsidRDefault="00F753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567A830" id="_x0000_t202" coordsize="21600,21600" o:spt="202" path="m,l,21600r21600,l21600,xe">
                <v:stroke joinstyle="miter"/>
                <v:path gradientshapeok="t" o:connecttype="rect"/>
              </v:shapetype>
              <v:shape id="Zone de texte 1" o:spid="_x0000_s1026" type="#_x0000_t202" style="position:absolute;margin-left:241.15pt;margin-top:4.05pt;width:204pt;height:187.2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" fillcolor="white [3201]" strokeweight=".5pt">
                <v:textbox>
                  <w:txbxContent>
                    <w:p w14:paraId="0EDD8922" w14:textId="77777777" w:rsidR="00F7532B" w:rsidRPr="00753597" w:rsidRDefault="00F7532B" w:rsidP="00F7532B">
                      <w:r w:rsidRPr="00753597">
                        <w:rPr>
                          <w:b/>
                          <w:bCs/>
                        </w:rPr>
                        <w:t>Kolkhoze</w:t>
                      </w:r>
                      <w:r w:rsidRPr="00753597">
                        <w:t> : Exploitation agricole collective dans laquelle la terre, les bâtiments d'exploitation, le matériel et une partie du bétail sont mis en commun. Les premières exploitations voient le jour en 1917 sur la base du volontariat. Le travailleur reçoit une part de la récolte.</w:t>
                      </w:r>
                    </w:p>
                    <w:p w14:paraId="63E2A1C2" w14:textId="77777777" w:rsidR="00F7532B" w:rsidRPr="00753597" w:rsidRDefault="00F7532B" w:rsidP="00F7532B">
                      <w:r w:rsidRPr="00753597">
                        <w:rPr>
                          <w:b/>
                          <w:bCs/>
                        </w:rPr>
                        <w:t>Sovkhoze</w:t>
                      </w:r>
                      <w:r w:rsidRPr="00753597">
                        <w:t xml:space="preserve"> : ferme d’Etat, l’agriculteur est salarié.</w:t>
                      </w:r>
                    </w:p>
                    <w:p w14:paraId="232B18FE" w14:textId="77777777" w:rsidR="00F7532B" w:rsidRDefault="00F7532B"/>
                  </w:txbxContent>
                </v:textbox>
              </v:shape>
            </w:pict>
          </mc:Fallback>
        </mc:AlternateContent>
      </w:r>
      <w:r w:rsidR="00753597" w:rsidRPr="00753597">
        <w:drawing>
          <wp:inline distT="0" distB="0" distL="0" distR="0" wp14:anchorId="3F746F15" wp14:editId="37B35847">
            <wp:extent cx="2446020" cy="2509969"/>
            <wp:effectExtent l="0" t="0" r="0" b="5080"/>
            <wp:docPr id="2007756464" name="Espace réservé du contenu 4">
              <a:extLst xmlns:a="http://schemas.openxmlformats.org/drawingml/2006/main">
                <a:ext uri="{FF2B5EF4-FFF2-40B4-BE49-F238E27FC236}">
                  <a16:creationId xmlns:a16="http://schemas.microsoft.com/office/drawing/2014/main" id="{E041B405-F9DE-9E4C-D9AC-A2F2C49B7C8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Espace réservé du contenu 4">
                      <a:extLst>
                        <a:ext uri="{FF2B5EF4-FFF2-40B4-BE49-F238E27FC236}">
                          <a16:creationId xmlns:a16="http://schemas.microsoft.com/office/drawing/2014/main" id="{E041B405-F9DE-9E4C-D9AC-A2F2C49B7C87}"/>
                        </a:ext>
                      </a:extLst>
                    </pic:cNvPr>
                    <pic:cNvPicPr>
                      <a:picLocks noGrp="1"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56828" cy="2521060"/>
                    </a:xfrm>
                    <a:prstGeom prst="rect">
                      <a:avLst/>
                    </a:prstGeom>
                  </pic:spPr>
                </pic:pic>
              </a:graphicData>
            </a:graphic>
          </wp:inline>
        </w:drawing>
      </w:r>
    </w:p>
    <w:p w14:paraId="00C3BECB" w14:textId="77777777" w:rsidR="00F7532B" w:rsidRDefault="00F7532B" w:rsidP="00753597"/>
    <w:p w14:paraId="4AAF8741" w14:textId="26D414A2" w:rsidR="00753597" w:rsidRPr="00F7532B" w:rsidRDefault="00F7532B" w:rsidP="00753597">
      <w:pPr>
        <w:rPr>
          <w:b/>
          <w:bCs/>
        </w:rPr>
      </w:pPr>
      <w:r w:rsidRPr="00753597">
        <w:drawing>
          <wp:anchor distT="0" distB="0" distL="114300" distR="114300" simplePos="0" relativeHeight="251659264" behindDoc="0" locked="0" layoutInCell="1" allowOverlap="1" wp14:anchorId="0A68BEC9" wp14:editId="19BB0B75">
            <wp:simplePos x="0" y="0"/>
            <wp:positionH relativeFrom="column">
              <wp:posOffset>562271</wp:posOffset>
            </wp:positionH>
            <wp:positionV relativeFrom="paragraph">
              <wp:posOffset>222885</wp:posOffset>
            </wp:positionV>
            <wp:extent cx="4428087" cy="2941320"/>
            <wp:effectExtent l="0" t="0" r="0" b="0"/>
            <wp:wrapNone/>
            <wp:docPr id="13316" name="Picture 4">
              <a:extLst xmlns:a="http://schemas.openxmlformats.org/drawingml/2006/main">
                <a:ext uri="{FF2B5EF4-FFF2-40B4-BE49-F238E27FC236}">
                  <a16:creationId xmlns:a16="http://schemas.microsoft.com/office/drawing/2014/main" id="{AABFAF93-3135-D1CA-CA3F-B82E075BEF1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316" name="Picture 4">
                      <a:extLst>
                        <a:ext uri="{FF2B5EF4-FFF2-40B4-BE49-F238E27FC236}">
                          <a16:creationId xmlns:a16="http://schemas.microsoft.com/office/drawing/2014/main" id="{AABFAF93-3135-D1CA-CA3F-B82E075BEF1F}"/>
                        </a:ext>
                      </a:extLst>
                    </pic:cNvPr>
                    <pic:cNvPicPr>
                      <a:picLocks noGrp="1"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33744" cy="2945078"/>
                    </a:xfrm>
                    <a:prstGeom prst="rect">
                      <a:avLst/>
                    </a:prstGeom>
                    <a:noFill/>
                  </pic:spPr>
                </pic:pic>
              </a:graphicData>
            </a:graphic>
            <wp14:sizeRelH relativeFrom="margin">
              <wp14:pctWidth>0</wp14:pctWidth>
            </wp14:sizeRelH>
            <wp14:sizeRelV relativeFrom="margin">
              <wp14:pctHeight>0</wp14:pctHeight>
            </wp14:sizeRelV>
          </wp:anchor>
        </w:drawing>
      </w:r>
      <w:r w:rsidRPr="00F7532B">
        <w:rPr>
          <w:b/>
          <w:bCs/>
        </w:rPr>
        <w:t>Géographie de la Grande Famine</w:t>
      </w:r>
      <w:r>
        <w:rPr>
          <w:b/>
          <w:bCs/>
        </w:rPr>
        <w:t xml:space="preserve"> (</w:t>
      </w:r>
      <w:hyperlink r:id="rId10" w:history="1">
        <w:r w:rsidRPr="00753597">
          <w:rPr>
            <w:rStyle w:val="Lienhypertexte"/>
          </w:rPr>
          <w:t>https://www.lhistoire.fr</w:t>
        </w:r>
      </w:hyperlink>
      <w:r>
        <w:t>)</w:t>
      </w:r>
    </w:p>
    <w:p w14:paraId="208ADC71" w14:textId="2B28A051" w:rsidR="00F7532B" w:rsidRDefault="00F7532B" w:rsidP="00753597"/>
    <w:p w14:paraId="283DE5B7" w14:textId="2EDB1C29" w:rsidR="00F7532B" w:rsidRPr="00753597" w:rsidRDefault="00F7532B" w:rsidP="00753597"/>
    <w:p w14:paraId="37B45C70" w14:textId="763663A5" w:rsidR="00753597" w:rsidRDefault="00753597" w:rsidP="00753597"/>
    <w:p w14:paraId="623A1111" w14:textId="70438934" w:rsidR="00753597" w:rsidRDefault="00753597" w:rsidP="00753597"/>
    <w:p w14:paraId="6B2C35BA" w14:textId="73955ABD" w:rsidR="00753597" w:rsidRDefault="00753597" w:rsidP="00753597"/>
    <w:p w14:paraId="5CEE895E" w14:textId="7B68F837" w:rsidR="00753597" w:rsidRDefault="00753597" w:rsidP="00753597"/>
    <w:p w14:paraId="41480D04" w14:textId="07F3DB76" w:rsidR="00753597" w:rsidRDefault="00753597" w:rsidP="00753597"/>
    <w:p w14:paraId="1423EBD4" w14:textId="64DA8FCB" w:rsidR="00753597" w:rsidRDefault="00753597" w:rsidP="00753597"/>
    <w:p w14:paraId="5ECD8DDC" w14:textId="77777777" w:rsidR="00F7532B" w:rsidRDefault="00F7532B" w:rsidP="00753597"/>
    <w:p w14:paraId="756F3BBA" w14:textId="0703B1E4" w:rsidR="00753597" w:rsidRPr="00753597" w:rsidRDefault="00753597" w:rsidP="00753597">
      <w:r w:rsidRPr="00753597">
        <w:lastRenderedPageBreak/>
        <mc:AlternateContent>
          <mc:Choice Requires="wps">
            <w:drawing>
              <wp:anchor distT="0" distB="0" distL="114300" distR="114300" simplePos="0" relativeHeight="251660288" behindDoc="0" locked="0" layoutInCell="1" allowOverlap="1" wp14:anchorId="19C75602" wp14:editId="7AE5C758">
                <wp:simplePos x="0" y="0"/>
                <wp:positionH relativeFrom="column">
                  <wp:posOffset>8629015</wp:posOffset>
                </wp:positionH>
                <wp:positionV relativeFrom="paragraph">
                  <wp:posOffset>6295390</wp:posOffset>
                </wp:positionV>
                <wp:extent cx="2063198" cy="276999"/>
                <wp:effectExtent l="0" t="0" r="0" b="0"/>
                <wp:wrapNone/>
                <wp:docPr id="6" name="ZoneTexte 5">
                  <a:extLst xmlns:a="http://schemas.openxmlformats.org/drawingml/2006/main">
                    <a:ext uri="{FF2B5EF4-FFF2-40B4-BE49-F238E27FC236}">
                      <a16:creationId xmlns:a16="http://schemas.microsoft.com/office/drawing/2014/main" id="{7A8C68D4-86D5-6DA0-6827-DC5C1E4E2A6D}"/>
                    </a:ext>
                  </a:extLst>
                </wp:docPr>
                <wp:cNvGraphicFramePr/>
                <a:graphic xmlns:a="http://schemas.openxmlformats.org/drawingml/2006/main">
                  <a:graphicData uri="http://schemas.microsoft.com/office/word/2010/wordprocessingShape">
                    <wps:wsp>
                      <wps:cNvSpPr txBox="1"/>
                      <wps:spPr>
                        <a:xfrm>
                          <a:off x="0" y="0"/>
                          <a:ext cx="2063198" cy="276999"/>
                        </a:xfrm>
                        <a:prstGeom prst="rect">
                          <a:avLst/>
                        </a:prstGeom>
                        <a:noFill/>
                      </wps:spPr>
                      <wps:txbx>
                        <w:txbxContent>
                          <w:p w14:paraId="603F7AC6" w14:textId="77777777" w:rsidR="00753597" w:rsidRDefault="00753597" w:rsidP="00753597">
                            <w:pPr>
                              <w:rPr>
                                <w:rFonts w:hAnsi="Calibri"/>
                                <w:color w:val="000000" w:themeColor="text1"/>
                                <w:kern w:val="24"/>
                                <w:sz w:val="24"/>
                                <w:szCs w:val="24"/>
                                <w14:ligatures w14:val="none"/>
                              </w:rPr>
                            </w:pPr>
                            <w:r>
                              <w:rPr>
                                <w:rFonts w:hAnsi="Calibri"/>
                                <w:color w:val="000000" w:themeColor="text1"/>
                                <w:kern w:val="24"/>
                              </w:rPr>
                              <w:t>https://www.lhistoire.fr</w:t>
                            </w:r>
                          </w:p>
                        </w:txbxContent>
                      </wps:txbx>
                      <wps:bodyPr wrap="square">
                        <a:spAutoFit/>
                      </wps:bodyPr>
                    </wps:wsp>
                  </a:graphicData>
                </a:graphic>
              </wp:anchor>
            </w:drawing>
          </mc:Choice>
          <mc:Fallback>
            <w:pict>
              <v:shape w14:anchorId="19C75602" id="ZoneTexte 5" o:spid="_x0000_s1027" type="#_x0000_t202" style="position:absolute;margin-left:679.45pt;margin-top:495.7pt;width:162.45pt;height:21.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" filled="f" stroked="f">
                <v:textbox style="mso-fit-shape-to-text:t">
                  <w:txbxContent>
                    <w:p w14:paraId="603F7AC6" w14:textId="77777777" w:rsidR="00753597" w:rsidRDefault="00753597" w:rsidP="00753597">
                      <w:pPr>
                        <w:rPr>
                          <w:rFonts w:hAnsi="Calibri"/>
                          <w:color w:val="000000" w:themeColor="text1"/>
                          <w:kern w:val="24"/>
                          <w:sz w:val="24"/>
                          <w:szCs w:val="24"/>
                          <w14:ligatures w14:val="none"/>
                        </w:rPr>
                      </w:pPr>
                      <w:r>
                        <w:rPr>
                          <w:rFonts w:hAnsi="Calibri"/>
                          <w:color w:val="000000" w:themeColor="text1"/>
                          <w:kern w:val="24"/>
                        </w:rPr>
                        <w:t>https://www.lhistoire.fr</w:t>
                      </w:r>
                    </w:p>
                  </w:txbxContent>
                </v:textbox>
              </v:shape>
            </w:pict>
          </mc:Fallback>
        </mc:AlternateContent>
      </w:r>
      <w:r w:rsidRPr="00753597">
        <w:t>« </w:t>
      </w:r>
      <w:proofErr w:type="gramStart"/>
      <w:r w:rsidRPr="00753597">
        <w:rPr>
          <w:b/>
          <w:bCs/>
        </w:rPr>
        <w:t>le</w:t>
      </w:r>
      <w:proofErr w:type="gramEnd"/>
      <w:r w:rsidRPr="00753597">
        <w:rPr>
          <w:b/>
          <w:bCs/>
        </w:rPr>
        <w:t xml:space="preserve"> vertige du succès</w:t>
      </w:r>
      <w:r w:rsidRPr="00753597">
        <w:t xml:space="preserve"> » (extraits) </w:t>
      </w:r>
      <w:r w:rsidR="00F7532B">
        <w:t>-</w:t>
      </w:r>
      <w:r w:rsidRPr="00753597">
        <w:t xml:space="preserve"> Staline 2 mars 1930 </w:t>
      </w:r>
    </w:p>
    <w:p w14:paraId="4789269E" w14:textId="77777777" w:rsidR="00753597" w:rsidRPr="00753597" w:rsidRDefault="00753597" w:rsidP="00753597">
      <w:r w:rsidRPr="00753597">
        <w:t>Ces succès enivrent souvent les gens, leur donnent le vertige, leur font perdre le sens de la mesure ; la tendance se manifeste chez eux à surestimer leurs forces et à sous-estimer celles de l’adversaire.</w:t>
      </w:r>
    </w:p>
    <w:p w14:paraId="739B511D" w14:textId="77777777" w:rsidR="00753597" w:rsidRPr="00753597" w:rsidRDefault="00753597" w:rsidP="00753597">
      <w:r w:rsidRPr="00753597">
        <w:t> D’où la tâche du Parti : engager une lutte résolue contre ces tendances dangereuses et nuisibles à la cause, et les chasser hors du Parti.</w:t>
      </w:r>
    </w:p>
    <w:p w14:paraId="2883BDF2" w14:textId="77777777" w:rsidR="00753597" w:rsidRPr="00753597" w:rsidRDefault="00753597" w:rsidP="00753597">
      <w:r w:rsidRPr="00753597">
        <w:t>Le principe de la libre adhésion aux kolkhozes et de la prise en considération des particularités locales est violé dans certaines régions.</w:t>
      </w:r>
    </w:p>
    <w:p w14:paraId="611AC2DB" w14:textId="77777777" w:rsidR="00753597" w:rsidRPr="00753597" w:rsidRDefault="00753597" w:rsidP="00753597">
      <w:r w:rsidRPr="00753597">
        <w:t> Dans l’artel agricole sont collectivisés les principaux moyens de production, notamment ceux qui servent à la culture des céréales.</w:t>
      </w:r>
    </w:p>
    <w:p w14:paraId="5AB23282" w14:textId="77777777" w:rsidR="00753597" w:rsidRPr="00753597" w:rsidRDefault="00753597" w:rsidP="00753597">
      <w:r w:rsidRPr="00753597">
        <w:t>   N’y sont pas collectivisés les terres attenant aux fermes, les habitations, une partie du bétail laitier, le menu bétail, la volaille, etc. L’artel est le maillon principal du mouvement kolkhozien, permettant de résoudre le problème des céréales.</w:t>
      </w:r>
    </w:p>
    <w:p w14:paraId="2C2EBE2A" w14:textId="059706B6" w:rsidR="00753597" w:rsidRDefault="00753597"/>
    <w:p w14:paraId="51D65541" w14:textId="1E37A26B" w:rsidR="00753597" w:rsidRDefault="00753597" w:rsidP="00F7532B">
      <w:pPr>
        <w:jc w:val="center"/>
      </w:pPr>
      <w:r w:rsidRPr="00753597">
        <w:drawing>
          <wp:inline distT="0" distB="0" distL="0" distR="0" wp14:anchorId="575EAB7A" wp14:editId="197370A2">
            <wp:extent cx="3432809" cy="1830832"/>
            <wp:effectExtent l="0" t="0" r="0" b="0"/>
            <wp:docPr id="11" name="Image 10">
              <a:extLst xmlns:a="http://schemas.openxmlformats.org/drawingml/2006/main">
                <a:ext uri="{FF2B5EF4-FFF2-40B4-BE49-F238E27FC236}">
                  <a16:creationId xmlns:a16="http://schemas.microsoft.com/office/drawing/2014/main" id="{2F7C3063-EB66-082A-1370-8086A0EFBB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a:extLst>
                        <a:ext uri="{FF2B5EF4-FFF2-40B4-BE49-F238E27FC236}">
                          <a16:creationId xmlns:a16="http://schemas.microsoft.com/office/drawing/2014/main" id="{2F7C3063-EB66-082A-1370-8086A0EFBB2F}"/>
                        </a:ext>
                      </a:extLst>
                    </pic:cNvPr>
                    <pic:cNvPicPr>
                      <a:picLocks noChangeAspect="1"/>
                    </pic:cNvPicPr>
                  </pic:nvPicPr>
                  <pic:blipFill>
                    <a:blip r:embed="rId11">
                      <a:extLst>
                        <a:ext uri="{28A0092B-C50C-407E-A947-70E740481C1C}">
                          <a14:useLocalDpi xmlns:a14="http://schemas.microsoft.com/office/drawing/2010/main" val="0"/>
                        </a:ext>
                      </a:extLst>
                    </a:blip>
                    <a:srcRect l="52324" t="51494" r="6514" b="32567"/>
                    <a:stretch>
                      <a:fillRect/>
                    </a:stretch>
                  </pic:blipFill>
                  <pic:spPr>
                    <a:xfrm>
                      <a:off x="0" y="0"/>
                      <a:ext cx="3449919" cy="1839957"/>
                    </a:xfrm>
                    <a:prstGeom prst="rect">
                      <a:avLst/>
                    </a:prstGeom>
                  </pic:spPr>
                </pic:pic>
              </a:graphicData>
            </a:graphic>
          </wp:inline>
        </w:drawing>
      </w:r>
    </w:p>
    <w:p w14:paraId="6E597E45" w14:textId="77777777" w:rsidR="00753597" w:rsidRPr="00753597" w:rsidRDefault="00753597" w:rsidP="00753597">
      <w:pPr>
        <w:rPr>
          <w:b/>
          <w:bCs/>
        </w:rPr>
      </w:pPr>
      <w:r w:rsidRPr="00753597">
        <w:rPr>
          <w:b/>
          <w:bCs/>
        </w:rPr>
        <w:t>Géographie du Goulag</w:t>
      </w:r>
    </w:p>
    <w:p w14:paraId="11A88D63" w14:textId="7521A15D" w:rsidR="00753597" w:rsidRDefault="00753597">
      <w:r w:rsidRPr="00753597">
        <w:drawing>
          <wp:inline distT="0" distB="0" distL="0" distR="0" wp14:anchorId="26386918" wp14:editId="3BDC9E8B">
            <wp:extent cx="4953000" cy="3289989"/>
            <wp:effectExtent l="0" t="0" r="0" b="5715"/>
            <wp:docPr id="1263075856" name="Espace réservé du contenu 4">
              <a:extLst xmlns:a="http://schemas.openxmlformats.org/drawingml/2006/main">
                <a:ext uri="{FF2B5EF4-FFF2-40B4-BE49-F238E27FC236}">
                  <a16:creationId xmlns:a16="http://schemas.microsoft.com/office/drawing/2014/main" id="{D5C39312-7FF2-50B5-0678-1406E0AF04C3}"/>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Espace réservé du contenu 4">
                      <a:extLst>
                        <a:ext uri="{FF2B5EF4-FFF2-40B4-BE49-F238E27FC236}">
                          <a16:creationId xmlns:a16="http://schemas.microsoft.com/office/drawing/2014/main" id="{D5C39312-7FF2-50B5-0678-1406E0AF04C3}"/>
                        </a:ext>
                      </a:extLst>
                    </pic:cNvPr>
                    <pic:cNvPicPr>
                      <a:picLocks noGrp="1"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59227" cy="3294125"/>
                    </a:xfrm>
                    <a:prstGeom prst="rect">
                      <a:avLst/>
                    </a:prstGeom>
                  </pic:spPr>
                </pic:pic>
              </a:graphicData>
            </a:graphic>
          </wp:inline>
        </w:drawing>
      </w:r>
    </w:p>
    <w:p w14:paraId="4A71174F" w14:textId="77777777" w:rsidR="00753597" w:rsidRDefault="00753597"/>
    <w:p w14:paraId="6D25C2FB" w14:textId="3A54CD64" w:rsidR="00753597" w:rsidRDefault="00753597" w:rsidP="00F7532B">
      <w:pPr>
        <w:jc w:val="center"/>
      </w:pPr>
      <w:r w:rsidRPr="00753597">
        <w:drawing>
          <wp:inline distT="0" distB="0" distL="0" distR="0" wp14:anchorId="62585B61" wp14:editId="33CC3366">
            <wp:extent cx="3063240" cy="2442356"/>
            <wp:effectExtent l="0" t="0" r="3810" b="0"/>
            <wp:docPr id="2" name="Espace réservé du contenu 4">
              <a:extLst xmlns:a="http://schemas.openxmlformats.org/drawingml/2006/main">
                <a:ext uri="{FF2B5EF4-FFF2-40B4-BE49-F238E27FC236}">
                  <a16:creationId xmlns:a16="http://schemas.microsoft.com/office/drawing/2014/main" id="{EACB6C49-8F21-4BE2-82B5-BD7B89E9CB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pace réservé du contenu 4">
                      <a:extLst>
                        <a:ext uri="{FF2B5EF4-FFF2-40B4-BE49-F238E27FC236}">
                          <a16:creationId xmlns:a16="http://schemas.microsoft.com/office/drawing/2014/main" id="{EACB6C49-8F21-4BE2-82B5-BD7B89E9CBF0}"/>
                        </a:ext>
                      </a:extLst>
                    </pic:cNvPr>
                    <pic:cNvPicPr>
                      <a:picLocks noChangeAspect="1"/>
                    </pic:cNvPicPr>
                  </pic:nvPicPr>
                  <pic:blipFill>
                    <a:blip r:embed="rId13" cstate="print">
                      <a:extLst>
                        <a:ext uri="{28A0092B-C50C-407E-A947-70E740481C1C}">
                          <a14:useLocalDpi xmlns:a14="http://schemas.microsoft.com/office/drawing/2010/main" val="0"/>
                        </a:ext>
                      </a:extLst>
                    </a:blip>
                    <a:srcRect t="1672" r="47093"/>
                    <a:stretch>
                      <a:fillRect/>
                    </a:stretch>
                  </pic:blipFill>
                  <pic:spPr>
                    <a:xfrm>
                      <a:off x="0" y="0"/>
                      <a:ext cx="3076537" cy="2452958"/>
                    </a:xfrm>
                    <a:prstGeom prst="rect">
                      <a:avLst/>
                    </a:prstGeom>
                  </pic:spPr>
                </pic:pic>
              </a:graphicData>
            </a:graphic>
          </wp:inline>
        </w:drawing>
      </w:r>
    </w:p>
    <w:p w14:paraId="087A2784" w14:textId="1FCFCBA1" w:rsidR="00753597" w:rsidRDefault="00753597">
      <w:pPr>
        <w:rPr>
          <w:b/>
          <w:bCs/>
        </w:rPr>
      </w:pPr>
      <w:r w:rsidRPr="00753597">
        <w:rPr>
          <w:b/>
          <w:bCs/>
        </w:rPr>
        <w:t>Bilan de la période stalinienne (1928-1953)</w:t>
      </w:r>
    </w:p>
    <w:p w14:paraId="540ACC21" w14:textId="77777777" w:rsidR="00753597" w:rsidRPr="00753597" w:rsidRDefault="00753597" w:rsidP="00753597">
      <w:pPr>
        <w:numPr>
          <w:ilvl w:val="0"/>
          <w:numId w:val="1"/>
        </w:numPr>
      </w:pPr>
      <w:r w:rsidRPr="00753597">
        <w:t xml:space="preserve">Déportés (1929-1953) : </w:t>
      </w:r>
      <w:r w:rsidRPr="00753597">
        <w:rPr>
          <w:b/>
          <w:bCs/>
        </w:rPr>
        <w:t xml:space="preserve">7 </w:t>
      </w:r>
      <w:r w:rsidRPr="00753597">
        <w:t>millions</w:t>
      </w:r>
    </w:p>
    <w:p w14:paraId="3D45F9E3" w14:textId="77777777" w:rsidR="00753597" w:rsidRPr="00753597" w:rsidRDefault="00753597" w:rsidP="00753597">
      <w:pPr>
        <w:numPr>
          <w:ilvl w:val="0"/>
          <w:numId w:val="1"/>
        </w:numPr>
      </w:pPr>
      <w:r w:rsidRPr="00753597">
        <w:t xml:space="preserve">Morts de famine : </w:t>
      </w:r>
      <w:r w:rsidRPr="00753597">
        <w:rPr>
          <w:b/>
          <w:bCs/>
        </w:rPr>
        <w:t xml:space="preserve">7 </w:t>
      </w:r>
      <w:r w:rsidRPr="00753597">
        <w:t>millions</w:t>
      </w:r>
      <w:r w:rsidRPr="00753597">
        <w:br/>
      </w:r>
      <w:r w:rsidRPr="00753597">
        <w:rPr>
          <w:i/>
          <w:iCs/>
        </w:rPr>
        <w:t>(6 millions en 1931-1933, 1 million en 1947)</w:t>
      </w:r>
    </w:p>
    <w:p w14:paraId="40904285" w14:textId="77777777" w:rsidR="00753597" w:rsidRPr="00753597" w:rsidRDefault="00753597" w:rsidP="00753597">
      <w:pPr>
        <w:numPr>
          <w:ilvl w:val="0"/>
          <w:numId w:val="1"/>
        </w:numPr>
      </w:pPr>
      <w:r w:rsidRPr="00753597">
        <w:t xml:space="preserve">Morts en camp (1929-1953) : </w:t>
      </w:r>
      <w:r w:rsidRPr="00753597">
        <w:rPr>
          <w:b/>
          <w:bCs/>
        </w:rPr>
        <w:t xml:space="preserve">1,8 </w:t>
      </w:r>
      <w:r w:rsidRPr="00753597">
        <w:t>million</w:t>
      </w:r>
    </w:p>
    <w:p w14:paraId="7954C5F9" w14:textId="77777777" w:rsidR="00753597" w:rsidRPr="00753597" w:rsidRDefault="00753597" w:rsidP="00753597">
      <w:pPr>
        <w:numPr>
          <w:ilvl w:val="0"/>
          <w:numId w:val="1"/>
        </w:numPr>
      </w:pPr>
      <w:r w:rsidRPr="00753597">
        <w:t xml:space="preserve">Fusillés (1929-1953) : </w:t>
      </w:r>
      <w:r w:rsidRPr="00753597">
        <w:rPr>
          <w:b/>
          <w:bCs/>
        </w:rPr>
        <w:t xml:space="preserve">1 </w:t>
      </w:r>
      <w:r w:rsidRPr="00753597">
        <w:t>million</w:t>
      </w:r>
      <w:r w:rsidRPr="00753597">
        <w:br/>
      </w:r>
      <w:r w:rsidRPr="00753597">
        <w:rPr>
          <w:i/>
          <w:iCs/>
        </w:rPr>
        <w:t>(dont 750 000 en 1937-1938)</w:t>
      </w:r>
    </w:p>
    <w:p w14:paraId="443BE39C" w14:textId="77777777" w:rsidR="00753597" w:rsidRPr="00753597" w:rsidRDefault="00753597" w:rsidP="00753597">
      <w:r w:rsidRPr="00753597">
        <w:rPr>
          <w:i/>
          <w:iCs/>
        </w:rPr>
        <w:t>L’estimation oscille entre 15 et 20 millions de morts pour l’ensemble de la période stalinienne.</w:t>
      </w:r>
    </w:p>
    <w:p w14:paraId="32C3C729" w14:textId="77777777" w:rsidR="00753597" w:rsidRDefault="00753597"/>
    <w:p w14:paraId="0074CE6B" w14:textId="77777777" w:rsidR="00F7532B" w:rsidRPr="00F7532B" w:rsidRDefault="00F7532B" w:rsidP="00F7532B">
      <w:r w:rsidRPr="00F7532B">
        <w:rPr>
          <w:b/>
          <w:bCs/>
        </w:rPr>
        <w:t>Bibliographie</w:t>
      </w:r>
    </w:p>
    <w:p w14:paraId="1C1F8CE1" w14:textId="77777777" w:rsidR="00F7532B" w:rsidRPr="00F7532B" w:rsidRDefault="00F7532B" w:rsidP="00F7532B">
      <w:r w:rsidRPr="00F7532B">
        <w:t xml:space="preserve">Stéphane Courtois, Nicolas Werth </w:t>
      </w:r>
      <w:proofErr w:type="spellStart"/>
      <w:r w:rsidRPr="00F7532B">
        <w:t>dir</w:t>
      </w:r>
      <w:proofErr w:type="spellEnd"/>
      <w:r w:rsidRPr="00F7532B">
        <w:t> : Le Livre noir du communisme : Crimes, terreur, répression, 1997</w:t>
      </w:r>
    </w:p>
    <w:p w14:paraId="016C5B73" w14:textId="77777777" w:rsidR="00F7532B" w:rsidRPr="00F7532B" w:rsidRDefault="00F7532B" w:rsidP="00F7532B">
      <w:hyperlink r:id="rId14" w:history="1">
        <w:r w:rsidRPr="00F7532B">
          <w:rPr>
            <w:rStyle w:val="Lienhypertexte"/>
          </w:rPr>
          <w:t>Sabine Dullin</w:t>
        </w:r>
      </w:hyperlink>
      <w:r w:rsidRPr="00F7532B">
        <w:t xml:space="preserve"> : Le grand pays et les petites patries dans l’Histoire </w:t>
      </w:r>
      <w:hyperlink r:id="rId15" w:history="1">
        <w:r w:rsidRPr="00F7532B">
          <w:rPr>
            <w:rStyle w:val="Lienhypertexte"/>
          </w:rPr>
          <w:t>mensuel 485</w:t>
        </w:r>
      </w:hyperlink>
      <w:r w:rsidRPr="00F7532B">
        <w:t xml:space="preserve">  juillet-août 2021 (numéro double 485-486)</w:t>
      </w:r>
    </w:p>
    <w:p w14:paraId="34FD033D" w14:textId="77777777" w:rsidR="00F7532B" w:rsidRPr="00F7532B" w:rsidRDefault="00F7532B" w:rsidP="00F7532B">
      <w:hyperlink r:id="rId16" w:history="1">
        <w:r w:rsidRPr="00F7532B">
          <w:rPr>
            <w:rStyle w:val="Lienhypertexte"/>
          </w:rPr>
          <w:t xml:space="preserve">Laurent </w:t>
        </w:r>
      </w:hyperlink>
      <w:hyperlink r:id="rId17" w:history="1">
        <w:r w:rsidRPr="00F7532B">
          <w:rPr>
            <w:rStyle w:val="Lienhypertexte"/>
          </w:rPr>
          <w:t>Gervereau</w:t>
        </w:r>
      </w:hyperlink>
      <w:r w:rsidRPr="00F7532B">
        <w:t xml:space="preserve"> : Faut-il sauver l'art stalinien ? dans l’Histoire </w:t>
      </w:r>
      <w:hyperlink r:id="rId18" w:history="1">
        <w:r w:rsidRPr="00F7532B">
          <w:rPr>
            <w:rStyle w:val="Lienhypertexte"/>
          </w:rPr>
          <w:t>mensuel 166</w:t>
        </w:r>
      </w:hyperlink>
      <w:r w:rsidRPr="00F7532B">
        <w:t xml:space="preserve"> mai 1993</w:t>
      </w:r>
    </w:p>
    <w:p w14:paraId="6971FCAF" w14:textId="5B5FB585" w:rsidR="00F7532B" w:rsidRPr="00F7532B" w:rsidRDefault="00F7532B" w:rsidP="00F7532B">
      <w:r w:rsidRPr="00F7532B">
        <w:t xml:space="preserve">Gueorgui Manaïev : Le coût humain des plans quinquennaux soviétiques, 20 </w:t>
      </w:r>
      <w:proofErr w:type="spellStart"/>
      <w:r w:rsidRPr="00F7532B">
        <w:t>oct</w:t>
      </w:r>
      <w:proofErr w:type="spellEnd"/>
      <w:r w:rsidRPr="00F7532B">
        <w:t xml:space="preserve"> 2020, Russia </w:t>
      </w:r>
      <w:proofErr w:type="spellStart"/>
      <w:r w:rsidRPr="00F7532B">
        <w:t>beyond</w:t>
      </w:r>
      <w:proofErr w:type="spellEnd"/>
      <w:r w:rsidRPr="00F7532B">
        <w:t xml:space="preserve">, </w:t>
      </w:r>
      <w:hyperlink r:id="rId19" w:history="1">
        <w:r w:rsidRPr="00F7532B">
          <w:rPr>
            <w:rStyle w:val="Lienhypertexte"/>
          </w:rPr>
          <w:t>https://fr.rbth.com/histoire/85544-plansquinquennaux-urss</w:t>
        </w:r>
      </w:hyperlink>
      <w:r w:rsidRPr="00F7532B">
        <w:t xml:space="preserve">  </w:t>
      </w:r>
    </w:p>
    <w:p w14:paraId="54F7B823" w14:textId="77777777" w:rsidR="00F7532B" w:rsidRPr="00F7532B" w:rsidRDefault="00F7532B" w:rsidP="00F7532B">
      <w:hyperlink r:id="rId20" w:history="1">
        <w:r w:rsidRPr="00F7532B">
          <w:rPr>
            <w:rStyle w:val="Lienhypertexte"/>
          </w:rPr>
          <w:t xml:space="preserve">Jean-Jacques Marie </w:t>
        </w:r>
      </w:hyperlink>
      <w:r w:rsidRPr="00F7532B">
        <w:t xml:space="preserve">Révélations sur l'assassinat de Kirov dans l’Histoire </w:t>
      </w:r>
      <w:hyperlink r:id="rId21" w:history="1">
        <w:r w:rsidRPr="00F7532B">
          <w:rPr>
            <w:rStyle w:val="Lienhypertexte"/>
          </w:rPr>
          <w:t>mensuel 183</w:t>
        </w:r>
      </w:hyperlink>
      <w:r w:rsidRPr="00F7532B">
        <w:t xml:space="preserve"> décembre 1994</w:t>
      </w:r>
    </w:p>
    <w:p w14:paraId="3E600C81" w14:textId="77777777" w:rsidR="00F7532B" w:rsidRPr="00F7532B" w:rsidRDefault="00F7532B" w:rsidP="00F7532B">
      <w:hyperlink r:id="rId22" w:history="1">
        <w:r w:rsidRPr="00F7532B">
          <w:rPr>
            <w:rStyle w:val="Lienhypertexte"/>
          </w:rPr>
          <w:t xml:space="preserve">Jean-Jacques Marie </w:t>
        </w:r>
      </w:hyperlink>
      <w:r w:rsidRPr="00F7532B">
        <w:t xml:space="preserve">Beria et la terreur stalinienne Dans l’Histoire </w:t>
      </w:r>
      <w:hyperlink r:id="rId23" w:history="1">
        <w:r w:rsidRPr="00F7532B">
          <w:rPr>
            <w:rStyle w:val="Lienhypertexte"/>
          </w:rPr>
          <w:t>mensuel 141</w:t>
        </w:r>
      </w:hyperlink>
      <w:r w:rsidRPr="00F7532B">
        <w:t xml:space="preserve"> février 1991</w:t>
      </w:r>
    </w:p>
    <w:p w14:paraId="05CC7906" w14:textId="77777777" w:rsidR="00F7532B" w:rsidRPr="00F7532B" w:rsidRDefault="00F7532B" w:rsidP="00F7532B">
      <w:r w:rsidRPr="00F7532B">
        <w:t xml:space="preserve">Jean-Jacques Marie : Urss : la tragédie des peuples déportés </w:t>
      </w:r>
      <w:hyperlink r:id="rId24" w:history="1">
        <w:r w:rsidRPr="00F7532B">
          <w:rPr>
            <w:rStyle w:val="Lienhypertexte"/>
          </w:rPr>
          <w:t xml:space="preserve"> </w:t>
        </w:r>
      </w:hyperlink>
      <w:r w:rsidRPr="00F7532B">
        <w:t xml:space="preserve">dans l’Histoire </w:t>
      </w:r>
      <w:hyperlink r:id="rId25" w:history="1">
        <w:r w:rsidRPr="00F7532B">
          <w:rPr>
            <w:rStyle w:val="Lienhypertexte"/>
          </w:rPr>
          <w:t>mensuel 180</w:t>
        </w:r>
      </w:hyperlink>
      <w:r w:rsidRPr="00F7532B">
        <w:t xml:space="preserve"> septembre 1994</w:t>
      </w:r>
    </w:p>
    <w:p w14:paraId="104B8B96" w14:textId="0F3F820A" w:rsidR="00F7532B" w:rsidRPr="00F7532B" w:rsidRDefault="00F7532B" w:rsidP="00F7532B">
      <w:hyperlink r:id="rId26" w:history="1">
        <w:r w:rsidRPr="00F7532B">
          <w:rPr>
            <w:rStyle w:val="Lienhypertexte"/>
          </w:rPr>
          <w:t xml:space="preserve">Jean-Jacques Marie </w:t>
        </w:r>
      </w:hyperlink>
      <w:r w:rsidRPr="00F7532B">
        <w:t xml:space="preserve">Staline, le tsar de toutes les machinations dans l’Histoire </w:t>
      </w:r>
      <w:hyperlink r:id="rId27" w:history="1">
        <w:r w:rsidRPr="00F7532B">
          <w:rPr>
            <w:rStyle w:val="Lienhypertexte"/>
          </w:rPr>
          <w:t>collections 33</w:t>
        </w:r>
      </w:hyperlink>
      <w:r w:rsidRPr="00F7532B">
        <w:t xml:space="preserve"> octobre - décembre 2006</w:t>
      </w:r>
    </w:p>
    <w:p w14:paraId="3D36BA02" w14:textId="77777777" w:rsidR="00F7532B" w:rsidRPr="00F7532B" w:rsidRDefault="00F7532B" w:rsidP="00F7532B">
      <w:r w:rsidRPr="00F7532B">
        <w:lastRenderedPageBreak/>
        <w:t xml:space="preserve">Jacques Sapir. L'industrialisation en Union soviétique. </w:t>
      </w:r>
      <w:proofErr w:type="gramStart"/>
      <w:r w:rsidRPr="00F7532B">
        <w:t>In:</w:t>
      </w:r>
      <w:proofErr w:type="gramEnd"/>
      <w:r w:rsidRPr="00F7532B">
        <w:t xml:space="preserve"> Communications, 42, 1985. Le gigantesque. pp. 79-86 ; </w:t>
      </w:r>
      <w:proofErr w:type="spellStart"/>
      <w:r w:rsidRPr="00F7532B">
        <w:t>doi</w:t>
      </w:r>
      <w:proofErr w:type="spellEnd"/>
      <w:r w:rsidRPr="00F7532B">
        <w:t xml:space="preserve"> : </w:t>
      </w:r>
      <w:hyperlink r:id="rId28" w:history="1">
        <w:r w:rsidRPr="00F7532B">
          <w:rPr>
            <w:rStyle w:val="Lienhypertexte"/>
          </w:rPr>
          <w:t>https://doi.org/10.3406/comm.1985.1627</w:t>
        </w:r>
      </w:hyperlink>
    </w:p>
    <w:p w14:paraId="778AA143" w14:textId="22A8D7FD" w:rsidR="00F7532B" w:rsidRPr="00F7532B" w:rsidRDefault="00F7532B" w:rsidP="00F7532B">
      <w:hyperlink r:id="rId29" w:history="1">
        <w:r w:rsidRPr="00F7532B">
          <w:rPr>
            <w:rStyle w:val="Lienhypertexte"/>
          </w:rPr>
          <w:t>Françoise Thom</w:t>
        </w:r>
      </w:hyperlink>
      <w:r w:rsidRPr="00F7532B">
        <w:t xml:space="preserve"> : Les échanges économiques, une arme méconnue dans la guerre hybride du Kremlin contre l’Occident. I. L’empreinte léninienne,7 septembre 2025, </w:t>
      </w:r>
      <w:hyperlink r:id="rId30" w:history="1">
        <w:r w:rsidRPr="00F7532B">
          <w:rPr>
            <w:rStyle w:val="Lienhypertexte"/>
          </w:rPr>
          <w:t>https://desk-russie.eu</w:t>
        </w:r>
      </w:hyperlink>
      <w:r>
        <w:t xml:space="preserve"> </w:t>
      </w:r>
    </w:p>
    <w:p w14:paraId="1C596C92" w14:textId="77F25419" w:rsidR="00F7532B" w:rsidRPr="00F7532B" w:rsidRDefault="00F7532B" w:rsidP="00F7532B">
      <w:r w:rsidRPr="00F7532B">
        <w:t xml:space="preserve">Berthold Unfried, « Montée et déclin des héros ». </w:t>
      </w:r>
      <w:r w:rsidRPr="00F7532B">
        <w:rPr>
          <w:i/>
          <w:iCs/>
        </w:rPr>
        <w:t>La fabrique des héros</w:t>
      </w:r>
      <w:r w:rsidRPr="00F7532B">
        <w:t>, édité par Pierre Centlivres et al., Éditions de la Maison des sciences de l’homme, 1999,</w:t>
      </w:r>
      <w:r>
        <w:t xml:space="preserve"> </w:t>
      </w:r>
      <w:hyperlink r:id="rId31" w:history="1">
        <w:r w:rsidRPr="00F7532B">
          <w:rPr>
            <w:rStyle w:val="Lienhypertexte"/>
          </w:rPr>
          <w:t>https://doi.org/10.4000/books.editionsmsh.4029</w:t>
        </w:r>
      </w:hyperlink>
      <w:r w:rsidRPr="00F7532B">
        <w:t>.</w:t>
      </w:r>
    </w:p>
    <w:p w14:paraId="2DA6DFCD" w14:textId="5AFB96E3" w:rsidR="00F7532B" w:rsidRPr="00F7532B" w:rsidRDefault="00F7532B" w:rsidP="00F7532B">
      <w:hyperlink r:id="rId32" w:history="1">
        <w:r w:rsidRPr="00F7532B">
          <w:rPr>
            <w:rStyle w:val="Lienhypertexte"/>
          </w:rPr>
          <w:t>Nicolas Werth</w:t>
        </w:r>
      </w:hyperlink>
      <w:r w:rsidRPr="00F7532B">
        <w:t> : La Russie soviétique : révolution, socialisme et dictature</w:t>
      </w:r>
      <w:r>
        <w:t>,</w:t>
      </w:r>
      <w:r w:rsidRPr="00F7532B">
        <w:t xml:space="preserve"> l’Histoire </w:t>
      </w:r>
      <w:hyperlink r:id="rId33" w:history="1">
        <w:r w:rsidRPr="00F7532B">
          <w:rPr>
            <w:rStyle w:val="Lienhypertexte"/>
          </w:rPr>
          <w:t>mensuel 223</w:t>
        </w:r>
      </w:hyperlink>
      <w:r w:rsidRPr="00F7532B">
        <w:t xml:space="preserve"> juillet-août 1998</w:t>
      </w:r>
    </w:p>
    <w:p w14:paraId="75E48F3D" w14:textId="00D85A0F" w:rsidR="00F7532B" w:rsidRPr="00F7532B" w:rsidRDefault="00F7532B" w:rsidP="00F7532B">
      <w:hyperlink r:id="rId34" w:history="1">
        <w:r w:rsidRPr="00F7532B">
          <w:rPr>
            <w:rStyle w:val="Lienhypertexte"/>
          </w:rPr>
          <w:t>Nicolas Werth</w:t>
        </w:r>
      </w:hyperlink>
      <w:r w:rsidRPr="00F7532B">
        <w:t> : Archives du communisme : les paysans contre Staline</w:t>
      </w:r>
      <w:r>
        <w:t>,</w:t>
      </w:r>
      <w:r w:rsidRPr="00F7532B">
        <w:t xml:space="preserve"> l’Histoire </w:t>
      </w:r>
      <w:hyperlink r:id="rId35" w:history="1">
        <w:r w:rsidRPr="00F7532B">
          <w:rPr>
            <w:rStyle w:val="Lienhypertexte"/>
          </w:rPr>
          <w:t>mensuel 296</w:t>
        </w:r>
      </w:hyperlink>
      <w:r w:rsidRPr="00F7532B">
        <w:t xml:space="preserve"> mars 2005 </w:t>
      </w:r>
    </w:p>
    <w:p w14:paraId="5C581A35" w14:textId="77777777" w:rsidR="00F7532B" w:rsidRPr="00F7532B" w:rsidRDefault="00F7532B" w:rsidP="00F7532B">
      <w:hyperlink r:id="rId36" w:history="1">
        <w:r w:rsidRPr="00F7532B">
          <w:rPr>
            <w:rStyle w:val="Lienhypertexte"/>
          </w:rPr>
          <w:t>Nicolas Werth</w:t>
        </w:r>
      </w:hyperlink>
      <w:r w:rsidRPr="00F7532B">
        <w:t xml:space="preserve"> : La catastrophe agricole soviétique dans l’Histoire </w:t>
      </w:r>
      <w:hyperlink r:id="rId37" w:history="1">
        <w:r w:rsidRPr="00F7532B">
          <w:rPr>
            <w:rStyle w:val="Lienhypertexte"/>
          </w:rPr>
          <w:t>mensuel 344</w:t>
        </w:r>
      </w:hyperlink>
      <w:r w:rsidRPr="00F7532B">
        <w:t xml:space="preserve"> juillet-août 2009</w:t>
      </w:r>
    </w:p>
    <w:p w14:paraId="3AF2579E" w14:textId="77777777" w:rsidR="00F7532B" w:rsidRPr="00F7532B" w:rsidRDefault="00F7532B" w:rsidP="00F7532B">
      <w:hyperlink r:id="rId38" w:history="1">
        <w:r w:rsidRPr="00F7532B">
          <w:rPr>
            <w:rStyle w:val="Lienhypertexte"/>
          </w:rPr>
          <w:t>Nicolas Werth</w:t>
        </w:r>
      </w:hyperlink>
      <w:r w:rsidRPr="00F7532B">
        <w:t xml:space="preserve"> : Comment Staline décida d'affamer son peuple dans l’Histoire </w:t>
      </w:r>
      <w:hyperlink r:id="rId39" w:history="1">
        <w:r w:rsidRPr="00F7532B">
          <w:rPr>
            <w:rStyle w:val="Lienhypertexte"/>
          </w:rPr>
          <w:t>mensuel 394</w:t>
        </w:r>
      </w:hyperlink>
      <w:r w:rsidRPr="00F7532B">
        <w:t xml:space="preserve"> décembre 2013</w:t>
      </w:r>
    </w:p>
    <w:p w14:paraId="7E18259B" w14:textId="77777777" w:rsidR="00F7532B" w:rsidRPr="00F7532B" w:rsidRDefault="00F7532B" w:rsidP="00F7532B">
      <w:hyperlink r:id="rId40" w:history="1">
        <w:r w:rsidRPr="00F7532B">
          <w:rPr>
            <w:rStyle w:val="Lienhypertexte"/>
          </w:rPr>
          <w:t>Nicolas Werth</w:t>
        </w:r>
      </w:hyperlink>
      <w:r w:rsidRPr="00F7532B">
        <w:t xml:space="preserve"> : La vérité sur la Grande Terreur dans l’Histoire </w:t>
      </w:r>
      <w:hyperlink r:id="rId41" w:history="1">
        <w:r w:rsidRPr="00F7532B">
          <w:rPr>
            <w:rStyle w:val="Lienhypertexte"/>
          </w:rPr>
          <w:t>mensuel 324</w:t>
        </w:r>
      </w:hyperlink>
      <w:r w:rsidRPr="00F7532B">
        <w:t xml:space="preserve"> octobre 2007</w:t>
      </w:r>
    </w:p>
    <w:p w14:paraId="7F67AA02" w14:textId="77777777" w:rsidR="00F7532B" w:rsidRPr="00F7532B" w:rsidRDefault="00F7532B" w:rsidP="00F7532B">
      <w:hyperlink r:id="rId42" w:history="1">
        <w:r w:rsidRPr="00F7532B">
          <w:rPr>
            <w:rStyle w:val="Lienhypertexte"/>
          </w:rPr>
          <w:t>Nicolas Werth</w:t>
        </w:r>
      </w:hyperlink>
      <w:r w:rsidRPr="00F7532B">
        <w:rPr>
          <w:u w:val="single"/>
        </w:rPr>
        <w:t xml:space="preserve"> : </w:t>
      </w:r>
      <w:r w:rsidRPr="00F7532B">
        <w:t xml:space="preserve">Goulag : un Soviétique sur six ! dans l’Histoire </w:t>
      </w:r>
      <w:hyperlink r:id="rId43" w:history="1">
        <w:r w:rsidRPr="00F7532B">
          <w:rPr>
            <w:rStyle w:val="Lienhypertexte"/>
          </w:rPr>
          <w:t>mensuel 461</w:t>
        </w:r>
      </w:hyperlink>
      <w:r w:rsidRPr="00F7532B">
        <w:t xml:space="preserve"> juillet-août 2019</w:t>
      </w:r>
    </w:p>
    <w:p w14:paraId="6B11AB0C" w14:textId="77777777" w:rsidR="00F7532B" w:rsidRDefault="00F7532B"/>
    <w:sectPr w:rsidR="00F7532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D0B8D"/>
    <w:multiLevelType w:val="hybridMultilevel"/>
    <w:tmpl w:val="A68840C6"/>
    <w:lvl w:ilvl="0" w:tplc="64E4DDB2">
      <w:start w:val="1"/>
      <w:numFmt w:val="bullet"/>
      <w:lvlText w:val="•"/>
      <w:lvlJc w:val="left"/>
      <w:pPr>
        <w:tabs>
          <w:tab w:val="num" w:pos="720"/>
        </w:tabs>
        <w:ind w:left="720" w:hanging="360"/>
      </w:pPr>
      <w:rPr>
        <w:rFonts w:ascii="Arial" w:hAnsi="Arial" w:hint="default"/>
      </w:rPr>
    </w:lvl>
    <w:lvl w:ilvl="1" w:tplc="B23A0B7E" w:tentative="1">
      <w:start w:val="1"/>
      <w:numFmt w:val="bullet"/>
      <w:lvlText w:val="•"/>
      <w:lvlJc w:val="left"/>
      <w:pPr>
        <w:tabs>
          <w:tab w:val="num" w:pos="1440"/>
        </w:tabs>
        <w:ind w:left="1440" w:hanging="360"/>
      </w:pPr>
      <w:rPr>
        <w:rFonts w:ascii="Arial" w:hAnsi="Arial" w:hint="default"/>
      </w:rPr>
    </w:lvl>
    <w:lvl w:ilvl="2" w:tplc="47446106" w:tentative="1">
      <w:start w:val="1"/>
      <w:numFmt w:val="bullet"/>
      <w:lvlText w:val="•"/>
      <w:lvlJc w:val="left"/>
      <w:pPr>
        <w:tabs>
          <w:tab w:val="num" w:pos="2160"/>
        </w:tabs>
        <w:ind w:left="2160" w:hanging="360"/>
      </w:pPr>
      <w:rPr>
        <w:rFonts w:ascii="Arial" w:hAnsi="Arial" w:hint="default"/>
      </w:rPr>
    </w:lvl>
    <w:lvl w:ilvl="3" w:tplc="C1A8D472" w:tentative="1">
      <w:start w:val="1"/>
      <w:numFmt w:val="bullet"/>
      <w:lvlText w:val="•"/>
      <w:lvlJc w:val="left"/>
      <w:pPr>
        <w:tabs>
          <w:tab w:val="num" w:pos="2880"/>
        </w:tabs>
        <w:ind w:left="2880" w:hanging="360"/>
      </w:pPr>
      <w:rPr>
        <w:rFonts w:ascii="Arial" w:hAnsi="Arial" w:hint="default"/>
      </w:rPr>
    </w:lvl>
    <w:lvl w:ilvl="4" w:tplc="D91EDC8A" w:tentative="1">
      <w:start w:val="1"/>
      <w:numFmt w:val="bullet"/>
      <w:lvlText w:val="•"/>
      <w:lvlJc w:val="left"/>
      <w:pPr>
        <w:tabs>
          <w:tab w:val="num" w:pos="3600"/>
        </w:tabs>
        <w:ind w:left="3600" w:hanging="360"/>
      </w:pPr>
      <w:rPr>
        <w:rFonts w:ascii="Arial" w:hAnsi="Arial" w:hint="default"/>
      </w:rPr>
    </w:lvl>
    <w:lvl w:ilvl="5" w:tplc="173EE53A" w:tentative="1">
      <w:start w:val="1"/>
      <w:numFmt w:val="bullet"/>
      <w:lvlText w:val="•"/>
      <w:lvlJc w:val="left"/>
      <w:pPr>
        <w:tabs>
          <w:tab w:val="num" w:pos="4320"/>
        </w:tabs>
        <w:ind w:left="4320" w:hanging="360"/>
      </w:pPr>
      <w:rPr>
        <w:rFonts w:ascii="Arial" w:hAnsi="Arial" w:hint="default"/>
      </w:rPr>
    </w:lvl>
    <w:lvl w:ilvl="6" w:tplc="910CF426" w:tentative="1">
      <w:start w:val="1"/>
      <w:numFmt w:val="bullet"/>
      <w:lvlText w:val="•"/>
      <w:lvlJc w:val="left"/>
      <w:pPr>
        <w:tabs>
          <w:tab w:val="num" w:pos="5040"/>
        </w:tabs>
        <w:ind w:left="5040" w:hanging="360"/>
      </w:pPr>
      <w:rPr>
        <w:rFonts w:ascii="Arial" w:hAnsi="Arial" w:hint="default"/>
      </w:rPr>
    </w:lvl>
    <w:lvl w:ilvl="7" w:tplc="F2F07E68" w:tentative="1">
      <w:start w:val="1"/>
      <w:numFmt w:val="bullet"/>
      <w:lvlText w:val="•"/>
      <w:lvlJc w:val="left"/>
      <w:pPr>
        <w:tabs>
          <w:tab w:val="num" w:pos="5760"/>
        </w:tabs>
        <w:ind w:left="5760" w:hanging="360"/>
      </w:pPr>
      <w:rPr>
        <w:rFonts w:ascii="Arial" w:hAnsi="Arial" w:hint="default"/>
      </w:rPr>
    </w:lvl>
    <w:lvl w:ilvl="8" w:tplc="0462634E" w:tentative="1">
      <w:start w:val="1"/>
      <w:numFmt w:val="bullet"/>
      <w:lvlText w:val="•"/>
      <w:lvlJc w:val="left"/>
      <w:pPr>
        <w:tabs>
          <w:tab w:val="num" w:pos="6480"/>
        </w:tabs>
        <w:ind w:left="6480" w:hanging="360"/>
      </w:pPr>
      <w:rPr>
        <w:rFonts w:ascii="Arial" w:hAnsi="Arial" w:hint="default"/>
      </w:rPr>
    </w:lvl>
  </w:abstractNum>
  <w:num w:numId="1" w16cid:durableId="488405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B54"/>
    <w:rsid w:val="0065728C"/>
    <w:rsid w:val="00753597"/>
    <w:rsid w:val="00825B54"/>
    <w:rsid w:val="00BB760D"/>
    <w:rsid w:val="00ED52F7"/>
    <w:rsid w:val="00F753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10AE7"/>
  <w15:chartTrackingRefBased/>
  <w15:docId w15:val="{9B452F28-5BF6-40A6-920F-B7C853030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3597"/>
  </w:style>
  <w:style w:type="paragraph" w:styleId="Titre1">
    <w:name w:val="heading 1"/>
    <w:basedOn w:val="Normal"/>
    <w:next w:val="Normal"/>
    <w:link w:val="Titre1Car"/>
    <w:uiPriority w:val="9"/>
    <w:qFormat/>
    <w:rsid w:val="00825B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825B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825B5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825B5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825B5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825B5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25B5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25B5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25B5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25B5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825B5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825B5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825B5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825B5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825B5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25B5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25B5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25B54"/>
    <w:rPr>
      <w:rFonts w:eastAsiaTheme="majorEastAsia" w:cstheme="majorBidi"/>
      <w:color w:val="272727" w:themeColor="text1" w:themeTint="D8"/>
    </w:rPr>
  </w:style>
  <w:style w:type="paragraph" w:styleId="Titre">
    <w:name w:val="Title"/>
    <w:basedOn w:val="Normal"/>
    <w:next w:val="Normal"/>
    <w:link w:val="TitreCar"/>
    <w:uiPriority w:val="10"/>
    <w:qFormat/>
    <w:rsid w:val="00825B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25B5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25B5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25B5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25B54"/>
    <w:pPr>
      <w:spacing w:before="160"/>
      <w:jc w:val="center"/>
    </w:pPr>
    <w:rPr>
      <w:i/>
      <w:iCs/>
      <w:color w:val="404040" w:themeColor="text1" w:themeTint="BF"/>
    </w:rPr>
  </w:style>
  <w:style w:type="character" w:customStyle="1" w:styleId="CitationCar">
    <w:name w:val="Citation Car"/>
    <w:basedOn w:val="Policepardfaut"/>
    <w:link w:val="Citation"/>
    <w:uiPriority w:val="29"/>
    <w:rsid w:val="00825B54"/>
    <w:rPr>
      <w:i/>
      <w:iCs/>
      <w:color w:val="404040" w:themeColor="text1" w:themeTint="BF"/>
    </w:rPr>
  </w:style>
  <w:style w:type="paragraph" w:styleId="Paragraphedeliste">
    <w:name w:val="List Paragraph"/>
    <w:basedOn w:val="Normal"/>
    <w:uiPriority w:val="34"/>
    <w:qFormat/>
    <w:rsid w:val="00825B54"/>
    <w:pPr>
      <w:ind w:left="720"/>
      <w:contextualSpacing/>
    </w:pPr>
  </w:style>
  <w:style w:type="character" w:styleId="Accentuationintense">
    <w:name w:val="Intense Emphasis"/>
    <w:basedOn w:val="Policepardfaut"/>
    <w:uiPriority w:val="21"/>
    <w:qFormat/>
    <w:rsid w:val="00825B54"/>
    <w:rPr>
      <w:i/>
      <w:iCs/>
      <w:color w:val="2F5496" w:themeColor="accent1" w:themeShade="BF"/>
    </w:rPr>
  </w:style>
  <w:style w:type="paragraph" w:styleId="Citationintense">
    <w:name w:val="Intense Quote"/>
    <w:basedOn w:val="Normal"/>
    <w:next w:val="Normal"/>
    <w:link w:val="CitationintenseCar"/>
    <w:uiPriority w:val="30"/>
    <w:qFormat/>
    <w:rsid w:val="00825B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825B54"/>
    <w:rPr>
      <w:i/>
      <w:iCs/>
      <w:color w:val="2F5496" w:themeColor="accent1" w:themeShade="BF"/>
    </w:rPr>
  </w:style>
  <w:style w:type="character" w:styleId="Rfrenceintense">
    <w:name w:val="Intense Reference"/>
    <w:basedOn w:val="Policepardfaut"/>
    <w:uiPriority w:val="32"/>
    <w:qFormat/>
    <w:rsid w:val="00825B54"/>
    <w:rPr>
      <w:b/>
      <w:bCs/>
      <w:smallCaps/>
      <w:color w:val="2F5496" w:themeColor="accent1" w:themeShade="BF"/>
      <w:spacing w:val="5"/>
    </w:rPr>
  </w:style>
  <w:style w:type="character" w:styleId="Lienhypertexte">
    <w:name w:val="Hyperlink"/>
    <w:basedOn w:val="Policepardfaut"/>
    <w:uiPriority w:val="99"/>
    <w:unhideWhenUsed/>
    <w:rsid w:val="00F7532B"/>
    <w:rPr>
      <w:color w:val="0563C1" w:themeColor="hyperlink"/>
      <w:u w:val="single"/>
    </w:rPr>
  </w:style>
  <w:style w:type="character" w:styleId="Mentionnonrsolue">
    <w:name w:val="Unresolved Mention"/>
    <w:basedOn w:val="Policepardfaut"/>
    <w:uiPriority w:val="99"/>
    <w:semiHidden/>
    <w:unhideWhenUsed/>
    <w:rsid w:val="00F753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g"/><Relationship Id="rId18" Type="http://schemas.openxmlformats.org/officeDocument/2006/relationships/hyperlink" Target="https://www.lhistoire.fr/parution/mensuel-166" TargetMode="External"/><Relationship Id="rId26" Type="http://schemas.openxmlformats.org/officeDocument/2006/relationships/hyperlink" Target="https://www.lhistoire.fr/auteur/jean-jacques-marie" TargetMode="External"/><Relationship Id="rId39" Type="http://schemas.openxmlformats.org/officeDocument/2006/relationships/hyperlink" Target="https://www.lhistoire.fr/parution/mensuel-394" TargetMode="External"/><Relationship Id="rId21" Type="http://schemas.openxmlformats.org/officeDocument/2006/relationships/hyperlink" Target="https://www.lhistoire.fr/parution/mensuel-183" TargetMode="External"/><Relationship Id="rId34" Type="http://schemas.openxmlformats.org/officeDocument/2006/relationships/hyperlink" Target="https://www.lhistoire.fr/auteur/nicolas-werth" TargetMode="External"/><Relationship Id="rId42" Type="http://schemas.openxmlformats.org/officeDocument/2006/relationships/hyperlink" Target="https://www.lhistoire.fr/auteur/nicolas-werth" TargetMode="Externa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s://www.lhistoire.fr/auteur/laurent-gervereau" TargetMode="External"/><Relationship Id="rId29" Type="http://schemas.openxmlformats.org/officeDocument/2006/relationships/hyperlink" Target="https://desk-russie.eu/auteur/francoise-thom"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hyperlink" Target="https://www.lhistoire.fr/auteur/jean-jacques-marie" TargetMode="External"/><Relationship Id="rId32" Type="http://schemas.openxmlformats.org/officeDocument/2006/relationships/hyperlink" Target="https://www.lhistoire.fr/auteur/nicolas-werth" TargetMode="External"/><Relationship Id="rId37" Type="http://schemas.openxmlformats.org/officeDocument/2006/relationships/hyperlink" Target="https://www.lhistoire.fr/parution/mensuel-344" TargetMode="External"/><Relationship Id="rId40" Type="http://schemas.openxmlformats.org/officeDocument/2006/relationships/hyperlink" Target="https://www.lhistoire.fr/auteur/nicolas-werth" TargetMode="External"/><Relationship Id="rId45"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www.lhistoire.fr/parution/mensuel-485" TargetMode="External"/><Relationship Id="rId23" Type="http://schemas.openxmlformats.org/officeDocument/2006/relationships/hyperlink" Target="https://www.lhistoire.fr/parution/mensuel-141" TargetMode="External"/><Relationship Id="rId28" Type="http://schemas.openxmlformats.org/officeDocument/2006/relationships/hyperlink" Target="https://doi.org/10.3406/comm.1985.1627" TargetMode="External"/><Relationship Id="rId36" Type="http://schemas.openxmlformats.org/officeDocument/2006/relationships/hyperlink" Target="https://www.lhistoire.fr/auteur/nicolas-werth" TargetMode="External"/><Relationship Id="rId10" Type="http://schemas.openxmlformats.org/officeDocument/2006/relationships/hyperlink" Target="https://www.lhistoire.fr" TargetMode="External"/><Relationship Id="rId19" Type="http://schemas.openxmlformats.org/officeDocument/2006/relationships/hyperlink" Target="https://fr.rbth.com/histoire/85544-plansquinquennaux-urss" TargetMode="External"/><Relationship Id="rId31" Type="http://schemas.openxmlformats.org/officeDocument/2006/relationships/hyperlink" Target="https://doi.org/10.4000/books.editionsmsh.4029"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lhistoire.fr/auteur/sabine-dullin" TargetMode="External"/><Relationship Id="rId22" Type="http://schemas.openxmlformats.org/officeDocument/2006/relationships/hyperlink" Target="https://www.lhistoire.fr/auteur/jean-jacques-marie" TargetMode="External"/><Relationship Id="rId27" Type="http://schemas.openxmlformats.org/officeDocument/2006/relationships/hyperlink" Target="https://www.lhistoire.fr/parution/collections-33" TargetMode="External"/><Relationship Id="rId30" Type="http://schemas.openxmlformats.org/officeDocument/2006/relationships/hyperlink" Target="https://desk-russie.eu" TargetMode="External"/><Relationship Id="rId35" Type="http://schemas.openxmlformats.org/officeDocument/2006/relationships/hyperlink" Target="https://www.lhistoire.fr/parution/mensuel-296" TargetMode="External"/><Relationship Id="rId43" Type="http://schemas.openxmlformats.org/officeDocument/2006/relationships/hyperlink" Target="https://www.lhistoire.fr/parution/mensuel-461" TargetMode="Externa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7.png"/><Relationship Id="rId17" Type="http://schemas.openxmlformats.org/officeDocument/2006/relationships/hyperlink" Target="https://www.lhistoire.fr/auteur/laurent-gervereau" TargetMode="External"/><Relationship Id="rId25" Type="http://schemas.openxmlformats.org/officeDocument/2006/relationships/hyperlink" Target="https://www.lhistoire.fr/parution/mensuel-180" TargetMode="External"/><Relationship Id="rId33" Type="http://schemas.openxmlformats.org/officeDocument/2006/relationships/hyperlink" Target="https://www.lhistoire.fr/parution/mensuel-223" TargetMode="External"/><Relationship Id="rId38" Type="http://schemas.openxmlformats.org/officeDocument/2006/relationships/hyperlink" Target="https://www.lhistoire.fr/auteur/nicolas-werth" TargetMode="External"/><Relationship Id="rId20" Type="http://schemas.openxmlformats.org/officeDocument/2006/relationships/hyperlink" Target="https://www.lhistoire.fr/auteur/jean-jacques-marie" TargetMode="External"/><Relationship Id="rId41" Type="http://schemas.openxmlformats.org/officeDocument/2006/relationships/hyperlink" Target="https://www.lhistoire.fr/parution/mensuel-324"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832</Words>
  <Characters>4578</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2</cp:revision>
  <dcterms:created xsi:type="dcterms:W3CDTF">2026-03-17T06:48:00Z</dcterms:created>
  <dcterms:modified xsi:type="dcterms:W3CDTF">2026-03-17T07:06:00Z</dcterms:modified>
</cp:coreProperties>
</file>